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05" w:rsidRPr="00782A40" w:rsidRDefault="000435F3" w:rsidP="00867554">
      <w:pPr>
        <w:spacing w:after="0"/>
        <w:jc w:val="center"/>
        <w:rPr>
          <w:b/>
        </w:rPr>
      </w:pPr>
      <w:r>
        <w:rPr>
          <w:b/>
        </w:rPr>
        <w:t>ABATACEPT</w:t>
      </w:r>
    </w:p>
    <w:p w:rsidR="00013E05" w:rsidRPr="00782A40" w:rsidRDefault="00013E05" w:rsidP="00013E05"/>
    <w:tbl>
      <w:tblPr>
        <w:tblW w:w="9214" w:type="dxa"/>
        <w:tblInd w:w="108" w:type="dxa"/>
        <w:tblLayout w:type="fixed"/>
        <w:tblLook w:val="0000" w:firstRow="0" w:lastRow="0" w:firstColumn="0" w:lastColumn="0" w:noHBand="0" w:noVBand="0"/>
      </w:tblPr>
      <w:tblGrid>
        <w:gridCol w:w="1843"/>
        <w:gridCol w:w="1418"/>
        <w:gridCol w:w="850"/>
        <w:gridCol w:w="567"/>
        <w:gridCol w:w="1701"/>
        <w:gridCol w:w="1418"/>
        <w:gridCol w:w="1417"/>
      </w:tblGrid>
      <w:tr w:rsidR="00013E05" w:rsidRPr="00260CE3" w:rsidTr="00D203AD">
        <w:trPr>
          <w:trHeight w:val="471"/>
        </w:trPr>
        <w:tc>
          <w:tcPr>
            <w:tcW w:w="3261" w:type="dxa"/>
            <w:gridSpan w:val="2"/>
            <w:tcBorders>
              <w:bottom w:val="single" w:sz="4" w:space="0" w:color="auto"/>
            </w:tcBorders>
          </w:tcPr>
          <w:p w:rsidR="00F47128" w:rsidRDefault="00013E05" w:rsidP="00F47128">
            <w:pPr>
              <w:keepNext/>
              <w:rPr>
                <w:rFonts w:ascii="Arial Narrow" w:hAnsi="Arial Narrow" w:cs="Arial"/>
                <w:sz w:val="20"/>
                <w:szCs w:val="20"/>
              </w:rPr>
            </w:pPr>
            <w:r w:rsidRPr="00260CE3">
              <w:rPr>
                <w:rFonts w:ascii="Arial Narrow" w:hAnsi="Arial Narrow" w:cs="Arial"/>
                <w:sz w:val="20"/>
                <w:szCs w:val="20"/>
              </w:rPr>
              <w:t>Manner of administration and form</w:t>
            </w:r>
            <w:r w:rsidR="000435F3">
              <w:rPr>
                <w:rFonts w:ascii="Arial Narrow" w:hAnsi="Arial Narrow" w:cs="Arial"/>
                <w:sz w:val="20"/>
                <w:szCs w:val="20"/>
              </w:rPr>
              <w:t xml:space="preserve"> </w:t>
            </w:r>
          </w:p>
          <w:p w:rsidR="00013E05" w:rsidRPr="00260CE3" w:rsidRDefault="00F47128" w:rsidP="00F47128">
            <w:pPr>
              <w:keepNext/>
              <w:rPr>
                <w:rFonts w:ascii="Arial Narrow" w:hAnsi="Arial Narrow" w:cs="Arial"/>
                <w:sz w:val="20"/>
                <w:szCs w:val="20"/>
              </w:rPr>
            </w:pPr>
            <w:r>
              <w:rPr>
                <w:rFonts w:ascii="Arial Narrow" w:hAnsi="Arial Narrow" w:cs="Arial"/>
                <w:sz w:val="20"/>
                <w:szCs w:val="20"/>
              </w:rPr>
              <w:t>P</w:t>
            </w:r>
            <w:r w:rsidR="000435F3">
              <w:rPr>
                <w:rFonts w:ascii="Arial Narrow" w:hAnsi="Arial Narrow" w:cs="Arial"/>
                <w:sz w:val="20"/>
                <w:szCs w:val="20"/>
              </w:rPr>
              <w:t>owder for I.V. infusion 250mg Injection</w:t>
            </w:r>
          </w:p>
        </w:tc>
        <w:tc>
          <w:tcPr>
            <w:tcW w:w="850" w:type="dxa"/>
            <w:tcBorders>
              <w:bottom w:val="single" w:sz="4" w:space="0" w:color="auto"/>
            </w:tcBorders>
          </w:tcPr>
          <w:p w:rsidR="00013E05" w:rsidRPr="00260CE3" w:rsidRDefault="00013E05" w:rsidP="00D203AD">
            <w:pPr>
              <w:keepNext/>
              <w:ind w:left="-108"/>
              <w:rPr>
                <w:rFonts w:ascii="Arial Narrow" w:hAnsi="Arial Narrow" w:cs="Arial"/>
                <w:sz w:val="20"/>
                <w:szCs w:val="20"/>
              </w:rPr>
            </w:pPr>
            <w:r w:rsidRPr="00260CE3">
              <w:rPr>
                <w:rFonts w:ascii="Arial Narrow" w:hAnsi="Arial Narrow" w:cs="Arial"/>
                <w:sz w:val="20"/>
                <w:szCs w:val="20"/>
              </w:rPr>
              <w:t>Max.</w:t>
            </w:r>
          </w:p>
          <w:p w:rsidR="00013E05" w:rsidRPr="00260CE3" w:rsidRDefault="00013E05" w:rsidP="00D203AD">
            <w:pPr>
              <w:keepNext/>
              <w:ind w:left="-108"/>
              <w:rPr>
                <w:rFonts w:ascii="Arial Narrow" w:hAnsi="Arial Narrow" w:cs="Arial"/>
                <w:sz w:val="20"/>
                <w:szCs w:val="20"/>
              </w:rPr>
            </w:pPr>
            <w:proofErr w:type="spellStart"/>
            <w:r w:rsidRPr="00260CE3">
              <w:rPr>
                <w:rFonts w:ascii="Arial Narrow" w:hAnsi="Arial Narrow" w:cs="Arial"/>
                <w:sz w:val="20"/>
                <w:szCs w:val="20"/>
              </w:rPr>
              <w:t>Qty</w:t>
            </w:r>
            <w:proofErr w:type="spellEnd"/>
          </w:p>
        </w:tc>
        <w:tc>
          <w:tcPr>
            <w:tcW w:w="567" w:type="dxa"/>
            <w:tcBorders>
              <w:bottom w:val="single" w:sz="4" w:space="0" w:color="auto"/>
            </w:tcBorders>
          </w:tcPr>
          <w:p w:rsidR="00013E05" w:rsidRPr="00260CE3" w:rsidRDefault="00013E05" w:rsidP="00D203AD">
            <w:pPr>
              <w:keepNext/>
              <w:ind w:left="-108"/>
              <w:rPr>
                <w:rFonts w:ascii="Arial Narrow" w:hAnsi="Arial Narrow" w:cs="Arial"/>
                <w:sz w:val="20"/>
                <w:szCs w:val="20"/>
              </w:rPr>
            </w:pPr>
            <w:r w:rsidRPr="00260CE3">
              <w:rPr>
                <w:rFonts w:ascii="Arial Narrow" w:hAnsi="Arial Narrow" w:cs="Arial"/>
                <w:sz w:val="20"/>
                <w:szCs w:val="20"/>
              </w:rPr>
              <w:t>№.of</w:t>
            </w:r>
          </w:p>
          <w:p w:rsidR="00013E05" w:rsidRPr="00260CE3" w:rsidRDefault="00013E05" w:rsidP="00D203AD">
            <w:pPr>
              <w:keepNext/>
              <w:ind w:left="-108"/>
              <w:rPr>
                <w:rFonts w:ascii="Arial Narrow" w:hAnsi="Arial Narrow" w:cs="Arial"/>
                <w:sz w:val="20"/>
                <w:szCs w:val="20"/>
              </w:rPr>
            </w:pPr>
            <w:proofErr w:type="spellStart"/>
            <w:r w:rsidRPr="00260CE3">
              <w:rPr>
                <w:rFonts w:ascii="Arial Narrow" w:hAnsi="Arial Narrow" w:cs="Arial"/>
                <w:sz w:val="20"/>
                <w:szCs w:val="20"/>
              </w:rPr>
              <w:t>Rpts</w:t>
            </w:r>
            <w:proofErr w:type="spellEnd"/>
          </w:p>
        </w:tc>
        <w:tc>
          <w:tcPr>
            <w:tcW w:w="1701" w:type="dxa"/>
            <w:tcBorders>
              <w:bottom w:val="single" w:sz="4" w:space="0" w:color="auto"/>
            </w:tcBorders>
          </w:tcPr>
          <w:p w:rsidR="00013E05" w:rsidRPr="00260CE3" w:rsidRDefault="00013E05" w:rsidP="00D203AD">
            <w:pPr>
              <w:keepNext/>
              <w:ind w:left="-108"/>
              <w:rPr>
                <w:rFonts w:ascii="Arial Narrow" w:hAnsi="Arial Narrow" w:cs="Arial"/>
                <w:sz w:val="20"/>
                <w:szCs w:val="20"/>
              </w:rPr>
            </w:pPr>
            <w:r w:rsidRPr="00260CE3">
              <w:rPr>
                <w:rFonts w:ascii="Arial Narrow" w:hAnsi="Arial Narrow" w:cs="Arial"/>
                <w:sz w:val="20"/>
                <w:szCs w:val="20"/>
              </w:rPr>
              <w:t xml:space="preserve">Dispensed Price for Max. </w:t>
            </w:r>
            <w:proofErr w:type="spellStart"/>
            <w:r w:rsidRPr="00260CE3">
              <w:rPr>
                <w:rFonts w:ascii="Arial Narrow" w:hAnsi="Arial Narrow" w:cs="Arial"/>
                <w:sz w:val="20"/>
                <w:szCs w:val="20"/>
              </w:rPr>
              <w:t>Qty</w:t>
            </w:r>
            <w:proofErr w:type="spellEnd"/>
          </w:p>
        </w:tc>
        <w:tc>
          <w:tcPr>
            <w:tcW w:w="2835" w:type="dxa"/>
            <w:gridSpan w:val="2"/>
            <w:tcBorders>
              <w:bottom w:val="single" w:sz="4" w:space="0" w:color="auto"/>
            </w:tcBorders>
          </w:tcPr>
          <w:p w:rsidR="00013E05" w:rsidRPr="00260CE3" w:rsidRDefault="00013E05" w:rsidP="00D203AD">
            <w:pPr>
              <w:keepNext/>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013E05" w:rsidRPr="00260CE3" w:rsidTr="00D203AD">
        <w:trPr>
          <w:trHeight w:val="577"/>
        </w:trPr>
        <w:tc>
          <w:tcPr>
            <w:tcW w:w="3261" w:type="dxa"/>
            <w:gridSpan w:val="2"/>
          </w:tcPr>
          <w:p w:rsidR="00013E05" w:rsidRDefault="00013E05" w:rsidP="00D203AD">
            <w:pPr>
              <w:keepNext/>
              <w:spacing w:after="0"/>
              <w:ind w:left="-108"/>
              <w:jc w:val="both"/>
              <w:rPr>
                <w:rFonts w:ascii="Arial Narrow" w:hAnsi="Arial Narrow" w:cs="Arial"/>
                <w:smallCaps/>
                <w:sz w:val="20"/>
                <w:szCs w:val="20"/>
              </w:rPr>
            </w:pPr>
            <w:r w:rsidRPr="00260CE3">
              <w:rPr>
                <w:rFonts w:ascii="Arial Narrow" w:hAnsi="Arial Narrow" w:cs="Arial"/>
                <w:smallCaps/>
                <w:sz w:val="20"/>
                <w:szCs w:val="20"/>
              </w:rPr>
              <w:t>DRUG NAME (IN CAPITALS)</w:t>
            </w:r>
          </w:p>
          <w:p w:rsidR="00013E05" w:rsidRPr="000435F3" w:rsidRDefault="000435F3" w:rsidP="00D203AD">
            <w:pPr>
              <w:keepNext/>
              <w:ind w:left="-108"/>
              <w:jc w:val="both"/>
              <w:rPr>
                <w:rFonts w:ascii="Arial Narrow" w:hAnsi="Arial Narrow" w:cs="Arial"/>
                <w:b/>
                <w:sz w:val="20"/>
                <w:szCs w:val="20"/>
              </w:rPr>
            </w:pPr>
            <w:r w:rsidRPr="000435F3">
              <w:rPr>
                <w:rFonts w:ascii="Arial Narrow" w:hAnsi="Arial Narrow" w:cs="Arial"/>
                <w:b/>
                <w:sz w:val="20"/>
                <w:szCs w:val="20"/>
              </w:rPr>
              <w:t>ABATACEPT</w:t>
            </w:r>
          </w:p>
          <w:p w:rsidR="00013E05" w:rsidRDefault="00013E05" w:rsidP="00D203AD">
            <w:pPr>
              <w:keepNext/>
              <w:spacing w:after="0"/>
              <w:ind w:left="-108"/>
              <w:jc w:val="both"/>
              <w:rPr>
                <w:rFonts w:ascii="Arial Narrow" w:hAnsi="Arial Narrow" w:cs="Arial"/>
                <w:sz w:val="20"/>
                <w:szCs w:val="20"/>
              </w:rPr>
            </w:pPr>
            <w:r w:rsidRPr="00260CE3">
              <w:rPr>
                <w:rFonts w:ascii="Arial Narrow" w:hAnsi="Arial Narrow" w:cs="Arial"/>
                <w:sz w:val="20"/>
                <w:szCs w:val="20"/>
              </w:rPr>
              <w:t>{Forms(s)} {strength(s)}</w:t>
            </w:r>
          </w:p>
          <w:p w:rsidR="00013E05" w:rsidRPr="00260CE3" w:rsidRDefault="000435F3" w:rsidP="00D203AD">
            <w:pPr>
              <w:keepNext/>
              <w:ind w:left="-108"/>
              <w:jc w:val="both"/>
              <w:rPr>
                <w:rFonts w:ascii="Arial Narrow" w:hAnsi="Arial Narrow" w:cs="Arial"/>
                <w:sz w:val="20"/>
                <w:szCs w:val="20"/>
              </w:rPr>
            </w:pPr>
            <w:r>
              <w:rPr>
                <w:rFonts w:ascii="Arial Narrow" w:hAnsi="Arial Narrow" w:cs="Arial"/>
                <w:sz w:val="20"/>
                <w:szCs w:val="20"/>
              </w:rPr>
              <w:t>250 mg injection; powder for,</w:t>
            </w:r>
            <w:r w:rsidRPr="000435F3">
              <w:rPr>
                <w:rFonts w:ascii="Arial Narrow" w:hAnsi="Arial Narrow" w:cs="Arial"/>
                <w:sz w:val="20"/>
                <w:szCs w:val="20"/>
              </w:rPr>
              <w:t xml:space="preserve"> 1 x 250 mg vial</w:t>
            </w:r>
          </w:p>
        </w:tc>
        <w:tc>
          <w:tcPr>
            <w:tcW w:w="850" w:type="dxa"/>
          </w:tcPr>
          <w:p w:rsidR="00013E05" w:rsidRPr="00260CE3" w:rsidRDefault="00013E05" w:rsidP="00D203AD">
            <w:pPr>
              <w:keepNext/>
              <w:ind w:left="-108"/>
              <w:jc w:val="center"/>
              <w:rPr>
                <w:rFonts w:ascii="Arial Narrow" w:hAnsi="Arial Narrow" w:cs="Arial"/>
                <w:sz w:val="20"/>
                <w:szCs w:val="20"/>
              </w:rPr>
            </w:pPr>
            <w:r>
              <w:rPr>
                <w:rFonts w:ascii="Arial Narrow" w:hAnsi="Arial Narrow" w:cs="Arial"/>
                <w:sz w:val="20"/>
                <w:szCs w:val="20"/>
              </w:rPr>
              <w:t>1</w:t>
            </w:r>
          </w:p>
        </w:tc>
        <w:tc>
          <w:tcPr>
            <w:tcW w:w="567" w:type="dxa"/>
          </w:tcPr>
          <w:p w:rsidR="00013E05" w:rsidRPr="00260CE3" w:rsidRDefault="000435F3" w:rsidP="00D203AD">
            <w:pPr>
              <w:keepNext/>
              <w:ind w:left="-108"/>
              <w:jc w:val="center"/>
              <w:rPr>
                <w:rFonts w:ascii="Arial Narrow" w:hAnsi="Arial Narrow" w:cs="Arial"/>
                <w:sz w:val="20"/>
                <w:szCs w:val="20"/>
              </w:rPr>
            </w:pPr>
            <w:r>
              <w:rPr>
                <w:rFonts w:ascii="Arial Narrow" w:hAnsi="Arial Narrow" w:cs="Arial"/>
                <w:sz w:val="20"/>
                <w:szCs w:val="20"/>
              </w:rPr>
              <w:t>0</w:t>
            </w:r>
          </w:p>
        </w:tc>
        <w:tc>
          <w:tcPr>
            <w:tcW w:w="1701" w:type="dxa"/>
          </w:tcPr>
          <w:p w:rsidR="00013E05" w:rsidRPr="00260CE3" w:rsidRDefault="00013E05" w:rsidP="00D203AD">
            <w:pPr>
              <w:keepNext/>
              <w:ind w:left="-108"/>
              <w:jc w:val="center"/>
              <w:rPr>
                <w:rFonts w:ascii="Arial Narrow" w:hAnsi="Arial Narrow" w:cs="Arial"/>
                <w:sz w:val="20"/>
                <w:szCs w:val="20"/>
              </w:rPr>
            </w:pPr>
          </w:p>
        </w:tc>
        <w:tc>
          <w:tcPr>
            <w:tcW w:w="1418" w:type="dxa"/>
          </w:tcPr>
          <w:p w:rsidR="00013E05" w:rsidRDefault="000435F3" w:rsidP="00D203AD">
            <w:pPr>
              <w:keepNext/>
              <w:jc w:val="center"/>
              <w:rPr>
                <w:rFonts w:ascii="Arial Narrow" w:hAnsi="Arial Narrow" w:cs="Arial"/>
                <w:b/>
                <w:sz w:val="20"/>
                <w:szCs w:val="20"/>
              </w:rPr>
            </w:pPr>
            <w:r w:rsidRPr="000435F3">
              <w:rPr>
                <w:rFonts w:ascii="Arial Narrow" w:hAnsi="Arial Narrow" w:cs="Arial"/>
                <w:b/>
                <w:sz w:val="20"/>
                <w:szCs w:val="20"/>
              </w:rPr>
              <w:t>ORENCIA</w:t>
            </w:r>
          </w:p>
          <w:p w:rsidR="000435F3" w:rsidRPr="000435F3" w:rsidRDefault="000435F3" w:rsidP="00D203AD">
            <w:pPr>
              <w:keepNext/>
              <w:jc w:val="center"/>
              <w:rPr>
                <w:rFonts w:ascii="Arial Narrow" w:hAnsi="Arial Narrow" w:cs="Arial"/>
                <w:sz w:val="20"/>
                <w:szCs w:val="20"/>
              </w:rPr>
            </w:pPr>
            <w:r w:rsidRPr="000435F3">
              <w:rPr>
                <w:rFonts w:ascii="Arial Narrow" w:hAnsi="Arial Narrow" w:cs="Arial"/>
                <w:sz w:val="20"/>
                <w:szCs w:val="20"/>
              </w:rPr>
              <w:t>Bristol-Myers Squibb Australia Pty Ltd</w:t>
            </w:r>
          </w:p>
        </w:tc>
        <w:tc>
          <w:tcPr>
            <w:tcW w:w="1417" w:type="dxa"/>
          </w:tcPr>
          <w:p w:rsidR="00013E05" w:rsidRPr="00260CE3" w:rsidRDefault="00013E05" w:rsidP="00D203AD">
            <w:pPr>
              <w:keepNext/>
              <w:jc w:val="center"/>
              <w:rPr>
                <w:rFonts w:ascii="Arial Narrow" w:hAnsi="Arial Narrow" w:cs="Arial"/>
                <w:sz w:val="20"/>
                <w:szCs w:val="20"/>
              </w:rPr>
            </w:pPr>
          </w:p>
        </w:tc>
      </w:tr>
      <w:tr w:rsidR="00013E05" w:rsidRPr="00260CE3" w:rsidTr="00D203AD">
        <w:trPr>
          <w:trHeight w:val="360"/>
        </w:trPr>
        <w:tc>
          <w:tcPr>
            <w:tcW w:w="9214" w:type="dxa"/>
            <w:gridSpan w:val="7"/>
            <w:tcBorders>
              <w:bottom w:val="single" w:sz="4" w:space="0" w:color="auto"/>
            </w:tcBorders>
          </w:tcPr>
          <w:p w:rsidR="00013E05" w:rsidRPr="00260CE3" w:rsidRDefault="00013E05" w:rsidP="00D203AD">
            <w:pPr>
              <w:jc w:val="both"/>
              <w:rPr>
                <w:rFonts w:ascii="Arial Narrow" w:hAnsi="Arial Narrow" w:cs="Arial"/>
                <w:sz w:val="20"/>
                <w:szCs w:val="20"/>
              </w:rPr>
            </w:pP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t xml:space="preserve">Category / </w:t>
            </w:r>
          </w:p>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t>Program</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013E05" w:rsidP="00867554">
            <w:pPr>
              <w:rPr>
                <w:rFonts w:ascii="Arial Narrow" w:hAnsi="Arial Narrow" w:cs="Arial"/>
                <w:sz w:val="20"/>
                <w:szCs w:val="20"/>
              </w:rPr>
            </w:pPr>
          </w:p>
          <w:p w:rsidR="000435F3" w:rsidRPr="00B43577" w:rsidRDefault="000435F3" w:rsidP="00867554">
            <w:pPr>
              <w:rPr>
                <w:rFonts w:ascii="Arial Narrow" w:hAnsi="Arial Narrow" w:cs="Arial"/>
                <w:sz w:val="20"/>
                <w:szCs w:val="20"/>
              </w:rPr>
            </w:pPr>
            <w:r w:rsidRPr="00B43577">
              <w:rPr>
                <w:rFonts w:ascii="Arial Narrow" w:hAnsi="Arial Narrow" w:cs="Arial"/>
                <w:sz w:val="20"/>
                <w:szCs w:val="20"/>
              </w:rPr>
              <w:t>Section 100 (Highly Specialised Drugs) – Private Hospitals (Code HS)</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013E05" w:rsidP="00D203AD">
            <w:pPr>
              <w:rPr>
                <w:rFonts w:ascii="Arial Narrow" w:hAnsi="Arial Narrow" w:cs="Arial"/>
                <w:sz w:val="20"/>
                <w:szCs w:val="20"/>
              </w:rPr>
            </w:pPr>
            <w:r w:rsidRPr="00B43577">
              <w:rPr>
                <w:rFonts w:ascii="Arial Narrow" w:hAnsi="Arial Narrow" w:cs="Arial"/>
                <w:sz w:val="20"/>
                <w:szCs w:val="20"/>
              </w:rPr>
              <w:fldChar w:fldCharType="begin">
                <w:ffData>
                  <w:name w:val="Check1"/>
                  <w:enabled/>
                  <w:calcOnExit w:val="0"/>
                  <w:checkBox>
                    <w:sizeAuto/>
                    <w:default w:val="0"/>
                  </w:checkBox>
                </w:ffData>
              </w:fldChar>
            </w:r>
            <w:r w:rsidRPr="00B43577">
              <w:rPr>
                <w:rFonts w:ascii="Arial Narrow" w:hAnsi="Arial Narrow" w:cs="Arial"/>
                <w:sz w:val="20"/>
                <w:szCs w:val="20"/>
              </w:rPr>
              <w:instrText xml:space="preserve"> FORMCHECKBOX </w:instrText>
            </w:r>
            <w:r w:rsidR="00B20524">
              <w:rPr>
                <w:rFonts w:ascii="Arial Narrow" w:hAnsi="Arial Narrow" w:cs="Arial"/>
                <w:sz w:val="20"/>
                <w:szCs w:val="20"/>
              </w:rPr>
            </w:r>
            <w:r w:rsidR="00B20524">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 xml:space="preserve">Dental  </w:t>
            </w:r>
            <w:r w:rsidRPr="00B43577">
              <w:rPr>
                <w:rFonts w:ascii="Arial Narrow" w:hAnsi="Arial Narrow" w:cs="Arial"/>
                <w:sz w:val="20"/>
                <w:szCs w:val="20"/>
              </w:rPr>
              <w:fldChar w:fldCharType="begin">
                <w:ffData>
                  <w:name w:val=""/>
                  <w:enabled/>
                  <w:calcOnExit w:val="0"/>
                  <w:checkBox>
                    <w:sizeAuto/>
                    <w:default w:val="1"/>
                  </w:checkBox>
                </w:ffData>
              </w:fldChar>
            </w:r>
            <w:r w:rsidRPr="00B43577">
              <w:rPr>
                <w:rFonts w:ascii="Arial Narrow" w:hAnsi="Arial Narrow" w:cs="Arial"/>
                <w:sz w:val="20"/>
                <w:szCs w:val="20"/>
              </w:rPr>
              <w:instrText xml:space="preserve"> FORMCHECKBOX </w:instrText>
            </w:r>
            <w:r w:rsidR="00B20524">
              <w:rPr>
                <w:rFonts w:ascii="Arial Narrow" w:hAnsi="Arial Narrow" w:cs="Arial"/>
                <w:sz w:val="20"/>
                <w:szCs w:val="20"/>
              </w:rPr>
            </w:r>
            <w:r w:rsidR="00B20524">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 xml:space="preserve">Medical Practitioners  </w:t>
            </w:r>
            <w:r w:rsidRPr="00B43577">
              <w:rPr>
                <w:rFonts w:ascii="Arial Narrow" w:hAnsi="Arial Narrow" w:cs="Arial"/>
                <w:sz w:val="20"/>
                <w:szCs w:val="20"/>
              </w:rPr>
              <w:fldChar w:fldCharType="begin">
                <w:ffData>
                  <w:name w:val="Check3"/>
                  <w:enabled/>
                  <w:calcOnExit w:val="0"/>
                  <w:checkBox>
                    <w:sizeAuto/>
                    <w:default w:val="0"/>
                  </w:checkBox>
                </w:ffData>
              </w:fldChar>
            </w:r>
            <w:r w:rsidRPr="00B43577">
              <w:rPr>
                <w:rFonts w:ascii="Arial Narrow" w:hAnsi="Arial Narrow" w:cs="Arial"/>
                <w:sz w:val="20"/>
                <w:szCs w:val="20"/>
              </w:rPr>
              <w:instrText xml:space="preserve"> FORMCHECKBOX </w:instrText>
            </w:r>
            <w:r w:rsidR="00B20524">
              <w:rPr>
                <w:rFonts w:ascii="Arial Narrow" w:hAnsi="Arial Narrow" w:cs="Arial"/>
                <w:sz w:val="20"/>
                <w:szCs w:val="20"/>
              </w:rPr>
            </w:r>
            <w:r w:rsidR="00B20524">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 xml:space="preserve">Nurse practitioners  </w:t>
            </w:r>
            <w:r w:rsidRPr="00B43577">
              <w:rPr>
                <w:rFonts w:ascii="Arial Narrow" w:hAnsi="Arial Narrow" w:cs="Arial"/>
                <w:sz w:val="20"/>
                <w:szCs w:val="20"/>
              </w:rPr>
              <w:fldChar w:fldCharType="begin">
                <w:ffData>
                  <w:name w:val=""/>
                  <w:enabled/>
                  <w:calcOnExit w:val="0"/>
                  <w:checkBox>
                    <w:sizeAuto/>
                    <w:default w:val="0"/>
                  </w:checkBox>
                </w:ffData>
              </w:fldChar>
            </w:r>
            <w:r w:rsidRPr="00B43577">
              <w:rPr>
                <w:rFonts w:ascii="Arial Narrow" w:hAnsi="Arial Narrow" w:cs="Arial"/>
                <w:sz w:val="20"/>
                <w:szCs w:val="20"/>
              </w:rPr>
              <w:instrText xml:space="preserve"> FORMCHECKBOX </w:instrText>
            </w:r>
            <w:r w:rsidR="00B20524">
              <w:rPr>
                <w:rFonts w:ascii="Arial Narrow" w:hAnsi="Arial Narrow" w:cs="Arial"/>
                <w:sz w:val="20"/>
                <w:szCs w:val="20"/>
              </w:rPr>
            </w:r>
            <w:r w:rsidR="00B20524">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Optometrists</w:t>
            </w:r>
          </w:p>
          <w:p w:rsidR="00013E05" w:rsidRPr="00B43577" w:rsidRDefault="00013E05" w:rsidP="00D203AD">
            <w:pPr>
              <w:rPr>
                <w:rFonts w:ascii="Arial Narrow" w:hAnsi="Arial Narrow" w:cs="Arial"/>
                <w:sz w:val="20"/>
                <w:szCs w:val="20"/>
              </w:rPr>
            </w:pPr>
            <w:r w:rsidRPr="00B43577">
              <w:rPr>
                <w:rFonts w:ascii="Arial Narrow" w:hAnsi="Arial Narrow" w:cs="Arial"/>
                <w:sz w:val="20"/>
                <w:szCs w:val="20"/>
              </w:rPr>
              <w:fldChar w:fldCharType="begin">
                <w:ffData>
                  <w:name w:val="Check5"/>
                  <w:enabled/>
                  <w:calcOnExit w:val="0"/>
                  <w:checkBox>
                    <w:sizeAuto/>
                    <w:default w:val="0"/>
                  </w:checkBox>
                </w:ffData>
              </w:fldChar>
            </w:r>
            <w:r w:rsidRPr="00B43577">
              <w:rPr>
                <w:rFonts w:ascii="Arial Narrow" w:hAnsi="Arial Narrow" w:cs="Arial"/>
                <w:sz w:val="20"/>
                <w:szCs w:val="20"/>
              </w:rPr>
              <w:instrText xml:space="preserve"> FORMCHECKBOX </w:instrText>
            </w:r>
            <w:r w:rsidR="00B20524">
              <w:rPr>
                <w:rFonts w:ascii="Arial Narrow" w:hAnsi="Arial Narrow" w:cs="Arial"/>
                <w:sz w:val="20"/>
                <w:szCs w:val="20"/>
              </w:rPr>
            </w:r>
            <w:r w:rsidR="00B20524">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Midwives</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proofErr w:type="spellStart"/>
            <w:r w:rsidRPr="00B43577">
              <w:rPr>
                <w:rFonts w:ascii="Arial Narrow" w:hAnsi="Arial Narrow" w:cs="Arial"/>
                <w:b/>
                <w:sz w:val="20"/>
                <w:szCs w:val="20"/>
              </w:rPr>
              <w:t>Episodicity</w:t>
            </w:r>
            <w:proofErr w:type="spellEnd"/>
            <w:r w:rsidRPr="00B43577">
              <w:rPr>
                <w:rFonts w:ascii="Arial Narrow" w:hAnsi="Arial Narrow" w:cs="Arial"/>
                <w:b/>
                <w:sz w:val="20"/>
                <w:szCs w:val="20"/>
              </w:rPr>
              <w:t>:</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0435F3" w:rsidP="00D203AD">
            <w:pPr>
              <w:rPr>
                <w:rFonts w:ascii="Arial Narrow" w:hAnsi="Arial Narrow" w:cs="Arial"/>
                <w:sz w:val="20"/>
                <w:szCs w:val="20"/>
              </w:rPr>
            </w:pPr>
            <w:r w:rsidRPr="00B43577">
              <w:rPr>
                <w:rFonts w:ascii="Arial Narrow" w:hAnsi="Arial Narrow" w:cs="Arial"/>
                <w:sz w:val="20"/>
                <w:szCs w:val="20"/>
              </w:rPr>
              <w:t>N/A</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0435F3" w:rsidP="00D203AD">
            <w:pPr>
              <w:rPr>
                <w:rFonts w:ascii="Arial Narrow" w:hAnsi="Arial Narrow" w:cs="Arial"/>
                <w:sz w:val="20"/>
                <w:szCs w:val="20"/>
              </w:rPr>
            </w:pPr>
            <w:r w:rsidRPr="00B43577">
              <w:rPr>
                <w:rFonts w:ascii="Arial Narrow" w:hAnsi="Arial Narrow" w:cs="Arial"/>
                <w:sz w:val="20"/>
                <w:szCs w:val="20"/>
              </w:rPr>
              <w:t>Severe active</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0435F3" w:rsidP="00D203AD">
            <w:pPr>
              <w:rPr>
                <w:rFonts w:ascii="Arial Narrow" w:hAnsi="Arial Narrow" w:cs="Arial"/>
                <w:sz w:val="20"/>
                <w:szCs w:val="20"/>
              </w:rPr>
            </w:pPr>
            <w:r w:rsidRPr="00B43577">
              <w:rPr>
                <w:rFonts w:ascii="Arial Narrow" w:hAnsi="Arial Narrow"/>
                <w:sz w:val="20"/>
                <w:szCs w:val="20"/>
              </w:rPr>
              <w:t>rheumatoid arthritis</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0435F3" w:rsidP="000435F3">
            <w:pPr>
              <w:pStyle w:val="NormalWeb"/>
              <w:ind w:left="0"/>
              <w:rPr>
                <w:rFonts w:ascii="Arial Narrow" w:hAnsi="Arial Narrow"/>
                <w:sz w:val="20"/>
                <w:szCs w:val="20"/>
              </w:rPr>
            </w:pPr>
            <w:r w:rsidRPr="00B43577">
              <w:rPr>
                <w:rFonts w:ascii="Arial Narrow" w:hAnsi="Arial Narrow"/>
                <w:sz w:val="20"/>
                <w:szCs w:val="20"/>
              </w:rPr>
              <w:t>Severe active rheumatoid arthritis</w:t>
            </w:r>
          </w:p>
        </w:tc>
      </w:tr>
      <w:tr w:rsidR="00B43577" w:rsidRPr="00B43577" w:rsidTr="00D203AD">
        <w:trPr>
          <w:trHeight w:val="375"/>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i/>
                <w:sz w:val="20"/>
                <w:szCs w:val="20"/>
              </w:rPr>
            </w:pPr>
            <w:r w:rsidRPr="00B43577">
              <w:rPr>
                <w:rFonts w:ascii="Arial Narrow" w:hAnsi="Arial Narrow" w:cs="Arial"/>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0435F3" w:rsidP="00D203AD">
            <w:pPr>
              <w:rPr>
                <w:rFonts w:ascii="Arial Narrow" w:hAnsi="Arial Narrow" w:cs="Arial"/>
                <w:sz w:val="20"/>
                <w:szCs w:val="20"/>
              </w:rPr>
            </w:pPr>
            <w:r w:rsidRPr="00B43577">
              <w:rPr>
                <w:rFonts w:ascii="Arial Narrow" w:hAnsi="Arial Narrow" w:cs="Arial"/>
                <w:sz w:val="20"/>
                <w:szCs w:val="20"/>
              </w:rPr>
              <w:t>Initial treatment - Initial 1 (new patient or patient recommencing treatment after a break of more than 24 months)</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t>Restriction Level / Method:</w:t>
            </w:r>
          </w:p>
          <w:p w:rsidR="00013E05" w:rsidRPr="00B43577" w:rsidRDefault="00013E05" w:rsidP="00D203AD">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013E05" w:rsidP="00D203AD">
            <w:pPr>
              <w:rPr>
                <w:rFonts w:ascii="Arial Narrow" w:hAnsi="Arial Narrow" w:cs="Arial"/>
                <w:sz w:val="20"/>
                <w:szCs w:val="20"/>
              </w:rPr>
            </w:pPr>
            <w:r w:rsidRPr="00B43577">
              <w:rPr>
                <w:rFonts w:ascii="Arial Narrow" w:hAnsi="Arial Narrow" w:cs="Arial"/>
                <w:sz w:val="20"/>
                <w:szCs w:val="20"/>
              </w:rPr>
              <w:fldChar w:fldCharType="begin">
                <w:ffData>
                  <w:name w:val="Check1"/>
                  <w:enabled/>
                  <w:calcOnExit w:val="0"/>
                  <w:checkBox>
                    <w:sizeAuto/>
                    <w:default w:val="0"/>
                  </w:checkBox>
                </w:ffData>
              </w:fldChar>
            </w:r>
            <w:r w:rsidRPr="00B43577">
              <w:rPr>
                <w:rFonts w:ascii="Arial Narrow" w:hAnsi="Arial Narrow" w:cs="Arial"/>
                <w:sz w:val="20"/>
                <w:szCs w:val="20"/>
              </w:rPr>
              <w:instrText xml:space="preserve"> FORMCHECKBOX </w:instrText>
            </w:r>
            <w:r w:rsidR="00B20524">
              <w:rPr>
                <w:rFonts w:ascii="Arial Narrow" w:hAnsi="Arial Narrow" w:cs="Arial"/>
                <w:sz w:val="20"/>
                <w:szCs w:val="20"/>
              </w:rPr>
            </w:r>
            <w:r w:rsidR="00B20524">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Restricted benefit</w:t>
            </w:r>
          </w:p>
          <w:p w:rsidR="00013E05" w:rsidRPr="00B43577" w:rsidRDefault="00F47128" w:rsidP="00D203A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013E05" w:rsidRPr="00B43577">
              <w:rPr>
                <w:rFonts w:ascii="Arial Narrow" w:hAnsi="Arial Narrow" w:cs="Arial"/>
                <w:sz w:val="20"/>
                <w:szCs w:val="20"/>
              </w:rPr>
              <w:t>Authority Required - In Writing</w:t>
            </w:r>
          </w:p>
          <w:p w:rsidR="00013E05" w:rsidRPr="00B43577" w:rsidRDefault="00013E05" w:rsidP="00D203AD">
            <w:pPr>
              <w:rPr>
                <w:rFonts w:ascii="Arial Narrow" w:hAnsi="Arial Narrow" w:cs="Arial"/>
                <w:sz w:val="20"/>
                <w:szCs w:val="20"/>
              </w:rPr>
            </w:pPr>
            <w:r w:rsidRPr="00B43577">
              <w:rPr>
                <w:rFonts w:ascii="Arial Narrow" w:hAnsi="Arial Narrow" w:cs="Arial"/>
                <w:sz w:val="20"/>
                <w:szCs w:val="20"/>
              </w:rPr>
              <w:fldChar w:fldCharType="begin">
                <w:ffData>
                  <w:name w:val="Check3"/>
                  <w:enabled/>
                  <w:calcOnExit w:val="0"/>
                  <w:checkBox>
                    <w:sizeAuto/>
                    <w:default w:val="0"/>
                  </w:checkBox>
                </w:ffData>
              </w:fldChar>
            </w:r>
            <w:r w:rsidRPr="00B43577">
              <w:rPr>
                <w:rFonts w:ascii="Arial Narrow" w:hAnsi="Arial Narrow" w:cs="Arial"/>
                <w:sz w:val="20"/>
                <w:szCs w:val="20"/>
              </w:rPr>
              <w:instrText xml:space="preserve"> FORMCHECKBOX </w:instrText>
            </w:r>
            <w:r w:rsidR="00B20524">
              <w:rPr>
                <w:rFonts w:ascii="Arial Narrow" w:hAnsi="Arial Narrow" w:cs="Arial"/>
                <w:sz w:val="20"/>
                <w:szCs w:val="20"/>
              </w:rPr>
            </w:r>
            <w:r w:rsidR="00B20524">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Authority Required - Telephone</w:t>
            </w:r>
          </w:p>
          <w:p w:rsidR="00013E05" w:rsidRPr="00B43577" w:rsidRDefault="00013E05" w:rsidP="00D203AD">
            <w:pPr>
              <w:rPr>
                <w:rFonts w:ascii="Arial Narrow" w:hAnsi="Arial Narrow" w:cs="Arial"/>
                <w:sz w:val="20"/>
                <w:szCs w:val="20"/>
              </w:rPr>
            </w:pPr>
            <w:r w:rsidRPr="00B43577">
              <w:rPr>
                <w:rFonts w:ascii="Arial Narrow" w:hAnsi="Arial Narrow" w:cs="Arial"/>
                <w:sz w:val="20"/>
                <w:szCs w:val="20"/>
              </w:rPr>
              <w:fldChar w:fldCharType="begin">
                <w:ffData>
                  <w:name w:val=""/>
                  <w:enabled/>
                  <w:calcOnExit w:val="0"/>
                  <w:checkBox>
                    <w:sizeAuto/>
                    <w:default w:val="0"/>
                  </w:checkBox>
                </w:ffData>
              </w:fldChar>
            </w:r>
            <w:r w:rsidRPr="00B43577">
              <w:rPr>
                <w:rFonts w:ascii="Arial Narrow" w:hAnsi="Arial Narrow" w:cs="Arial"/>
                <w:sz w:val="20"/>
                <w:szCs w:val="20"/>
              </w:rPr>
              <w:instrText xml:space="preserve"> FORMCHECKBOX </w:instrText>
            </w:r>
            <w:r w:rsidR="00B20524">
              <w:rPr>
                <w:rFonts w:ascii="Arial Narrow" w:hAnsi="Arial Narrow" w:cs="Arial"/>
                <w:sz w:val="20"/>
                <w:szCs w:val="20"/>
              </w:rPr>
            </w:r>
            <w:r w:rsidR="00B20524">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Authority Required – Emergency</w:t>
            </w:r>
          </w:p>
          <w:p w:rsidR="00013E05" w:rsidRPr="00B43577" w:rsidRDefault="00013E05" w:rsidP="00D203AD">
            <w:pPr>
              <w:rPr>
                <w:rFonts w:ascii="Arial Narrow" w:hAnsi="Arial Narrow" w:cs="Arial"/>
                <w:sz w:val="20"/>
                <w:szCs w:val="20"/>
              </w:rPr>
            </w:pPr>
            <w:r w:rsidRPr="00B43577">
              <w:rPr>
                <w:rFonts w:ascii="Arial Narrow" w:hAnsi="Arial Narrow" w:cs="Arial"/>
                <w:sz w:val="20"/>
                <w:szCs w:val="20"/>
              </w:rPr>
              <w:fldChar w:fldCharType="begin">
                <w:ffData>
                  <w:name w:val="Check5"/>
                  <w:enabled/>
                  <w:calcOnExit w:val="0"/>
                  <w:checkBox>
                    <w:sizeAuto/>
                    <w:default w:val="0"/>
                  </w:checkBox>
                </w:ffData>
              </w:fldChar>
            </w:r>
            <w:r w:rsidRPr="00B43577">
              <w:rPr>
                <w:rFonts w:ascii="Arial Narrow" w:hAnsi="Arial Narrow" w:cs="Arial"/>
                <w:sz w:val="20"/>
                <w:szCs w:val="20"/>
              </w:rPr>
              <w:instrText xml:space="preserve"> FORMCHECKBOX </w:instrText>
            </w:r>
            <w:r w:rsidR="00B20524">
              <w:rPr>
                <w:rFonts w:ascii="Arial Narrow" w:hAnsi="Arial Narrow" w:cs="Arial"/>
                <w:sz w:val="20"/>
                <w:szCs w:val="20"/>
              </w:rPr>
            </w:r>
            <w:r w:rsidR="00B20524">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Authority Required - Electronic</w:t>
            </w:r>
          </w:p>
          <w:p w:rsidR="00013E05" w:rsidRPr="00B43577" w:rsidRDefault="00013E05" w:rsidP="00D203AD">
            <w:pPr>
              <w:rPr>
                <w:rFonts w:ascii="Arial Narrow" w:hAnsi="Arial Narrow" w:cs="Arial"/>
                <w:sz w:val="20"/>
                <w:szCs w:val="20"/>
              </w:rPr>
            </w:pPr>
            <w:r w:rsidRPr="00B43577">
              <w:rPr>
                <w:rFonts w:ascii="Arial Narrow" w:hAnsi="Arial Narrow" w:cs="Arial"/>
                <w:sz w:val="20"/>
                <w:szCs w:val="20"/>
              </w:rPr>
              <w:fldChar w:fldCharType="begin">
                <w:ffData>
                  <w:name w:val="Check5"/>
                  <w:enabled/>
                  <w:calcOnExit w:val="0"/>
                  <w:checkBox>
                    <w:sizeAuto/>
                    <w:default w:val="0"/>
                  </w:checkBox>
                </w:ffData>
              </w:fldChar>
            </w:r>
            <w:r w:rsidRPr="00B43577">
              <w:rPr>
                <w:rFonts w:ascii="Arial Narrow" w:hAnsi="Arial Narrow" w:cs="Arial"/>
                <w:sz w:val="20"/>
                <w:szCs w:val="20"/>
              </w:rPr>
              <w:instrText xml:space="preserve"> FORMCHECKBOX </w:instrText>
            </w:r>
            <w:r w:rsidR="00B20524">
              <w:rPr>
                <w:rFonts w:ascii="Arial Narrow" w:hAnsi="Arial Narrow" w:cs="Arial"/>
                <w:sz w:val="20"/>
                <w:szCs w:val="20"/>
              </w:rPr>
            </w:r>
            <w:r w:rsidR="00B20524">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Streamlined</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rPr>
                <w:rFonts w:ascii="Arial Narrow" w:hAnsi="Arial Narrow" w:cs="Arial"/>
                <w:b/>
                <w:sz w:val="20"/>
                <w:szCs w:val="20"/>
              </w:rPr>
            </w:pPr>
            <w:r w:rsidRPr="00B43577">
              <w:rPr>
                <w:rFonts w:ascii="Arial Narrow" w:hAnsi="Arial Narrow" w:cs="Arial"/>
                <w:b/>
                <w:sz w:val="20"/>
                <w:szCs w:val="20"/>
              </w:rPr>
              <w:t>Treatment criteria:</w:t>
            </w:r>
          </w:p>
        </w:tc>
        <w:tc>
          <w:tcPr>
            <w:tcW w:w="7371" w:type="dxa"/>
            <w:gridSpan w:val="6"/>
            <w:tcBorders>
              <w:top w:val="single" w:sz="4" w:space="0" w:color="auto"/>
              <w:left w:val="single" w:sz="4" w:space="0" w:color="auto"/>
              <w:bottom w:val="single" w:sz="4" w:space="0" w:color="auto"/>
              <w:right w:val="single" w:sz="4" w:space="0" w:color="auto"/>
            </w:tcBorders>
          </w:tcPr>
          <w:p w:rsidR="000435F3" w:rsidRPr="00B43577" w:rsidRDefault="000435F3" w:rsidP="000435F3">
            <w:pPr>
              <w:pStyle w:val="NormalWeb"/>
              <w:numPr>
                <w:ilvl w:val="0"/>
                <w:numId w:val="6"/>
              </w:numPr>
              <w:ind w:left="795"/>
              <w:rPr>
                <w:rFonts w:ascii="Arial Narrow" w:hAnsi="Arial Narrow"/>
                <w:sz w:val="20"/>
                <w:szCs w:val="20"/>
              </w:rPr>
            </w:pPr>
            <w:r w:rsidRPr="00B43577">
              <w:rPr>
                <w:rFonts w:ascii="Arial Narrow" w:hAnsi="Arial Narrow"/>
                <w:sz w:val="20"/>
                <w:szCs w:val="20"/>
              </w:rPr>
              <w:t xml:space="preserve">Must be treated by a rheumatologist; </w:t>
            </w:r>
            <w:r w:rsidRPr="00B43577">
              <w:rPr>
                <w:rFonts w:ascii="Arial Narrow" w:hAnsi="Arial Narrow"/>
                <w:b/>
                <w:sz w:val="20"/>
                <w:szCs w:val="20"/>
              </w:rPr>
              <w:t>OR</w:t>
            </w:r>
          </w:p>
          <w:p w:rsidR="00013E05" w:rsidRPr="00B43577" w:rsidRDefault="000435F3" w:rsidP="000435F3">
            <w:pPr>
              <w:pStyle w:val="NormalWeb"/>
              <w:numPr>
                <w:ilvl w:val="0"/>
                <w:numId w:val="6"/>
              </w:numPr>
              <w:ind w:left="795"/>
              <w:rPr>
                <w:rFonts w:ascii="Arial Narrow" w:hAnsi="Arial Narrow"/>
                <w:sz w:val="20"/>
                <w:szCs w:val="20"/>
              </w:rPr>
            </w:pPr>
            <w:r w:rsidRPr="00B43577">
              <w:rPr>
                <w:rFonts w:ascii="Arial Narrow" w:hAnsi="Arial Narrow"/>
                <w:sz w:val="20"/>
                <w:szCs w:val="20"/>
              </w:rPr>
              <w:t>Must be treated by a clinical immunologist with expertise in the management of rheumatoid arthritis.</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t>Clinical criteria:</w:t>
            </w:r>
          </w:p>
          <w:p w:rsidR="00013E05" w:rsidRPr="00B43577" w:rsidRDefault="00013E05" w:rsidP="00D203AD">
            <w:pPr>
              <w:jc w:val="both"/>
              <w:rPr>
                <w:rFonts w:ascii="Arial Narrow" w:hAnsi="Arial Narrow" w:cs="Arial"/>
                <w:i/>
                <w:sz w:val="20"/>
                <w:szCs w:val="20"/>
              </w:rPr>
            </w:pPr>
          </w:p>
          <w:p w:rsidR="00013E05" w:rsidRPr="00B43577" w:rsidRDefault="00013E05" w:rsidP="00D203AD">
            <w:pPr>
              <w:jc w:val="both"/>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C27319" w:rsidRPr="00B43577" w:rsidRDefault="00C27319" w:rsidP="00C27319">
            <w:pPr>
              <w:pStyle w:val="NormalWeb"/>
              <w:numPr>
                <w:ilvl w:val="0"/>
                <w:numId w:val="7"/>
              </w:numPr>
              <w:ind w:left="795"/>
              <w:rPr>
                <w:rFonts w:ascii="Arial Narrow" w:hAnsi="Arial Narrow"/>
                <w:sz w:val="20"/>
                <w:szCs w:val="20"/>
              </w:rPr>
            </w:pPr>
            <w:r w:rsidRPr="00B43577">
              <w:rPr>
                <w:rFonts w:ascii="Arial Narrow" w:hAnsi="Arial Narrow"/>
                <w:sz w:val="20"/>
                <w:szCs w:val="20"/>
              </w:rPr>
              <w:t>Patient must have severe active rheumatoid arthritis,</w:t>
            </w:r>
          </w:p>
          <w:p w:rsidR="00C27319" w:rsidRPr="00B43577" w:rsidRDefault="00C27319" w:rsidP="00C27319">
            <w:pPr>
              <w:pStyle w:val="NormalWeb"/>
              <w:rPr>
                <w:rFonts w:ascii="Arial Narrow" w:hAnsi="Arial Narrow"/>
                <w:sz w:val="20"/>
                <w:szCs w:val="20"/>
              </w:rPr>
            </w:pPr>
            <w:r w:rsidRPr="00B43577">
              <w:rPr>
                <w:rFonts w:ascii="Arial Narrow" w:hAnsi="Arial Narrow"/>
                <w:b/>
                <w:bCs/>
                <w:sz w:val="20"/>
                <w:szCs w:val="20"/>
              </w:rPr>
              <w:t>AND</w:t>
            </w:r>
          </w:p>
          <w:p w:rsidR="00C27319" w:rsidRPr="00B43577" w:rsidRDefault="00C27319" w:rsidP="00C27319">
            <w:pPr>
              <w:pStyle w:val="NormalWeb"/>
              <w:numPr>
                <w:ilvl w:val="0"/>
                <w:numId w:val="8"/>
              </w:numPr>
              <w:ind w:left="795"/>
              <w:rPr>
                <w:rFonts w:ascii="Arial Narrow" w:hAnsi="Arial Narrow"/>
                <w:sz w:val="20"/>
                <w:szCs w:val="20"/>
              </w:rPr>
            </w:pPr>
            <w:r w:rsidRPr="00B43577">
              <w:rPr>
                <w:rFonts w:ascii="Arial Narrow" w:hAnsi="Arial Narrow"/>
                <w:sz w:val="20"/>
                <w:szCs w:val="20"/>
              </w:rPr>
              <w:t>Patient must have received no PBS-subsidised treatment with a biological disease modifying anti-rheumatic drug (</w:t>
            </w:r>
            <w:proofErr w:type="spellStart"/>
            <w:r w:rsidRPr="00B43577">
              <w:rPr>
                <w:rFonts w:ascii="Arial Narrow" w:hAnsi="Arial Narrow"/>
                <w:sz w:val="20"/>
                <w:szCs w:val="20"/>
              </w:rPr>
              <w:t>bDMARD</w:t>
            </w:r>
            <w:proofErr w:type="spellEnd"/>
            <w:r w:rsidRPr="00B43577">
              <w:rPr>
                <w:rFonts w:ascii="Arial Narrow" w:hAnsi="Arial Narrow"/>
                <w:sz w:val="20"/>
                <w:szCs w:val="20"/>
              </w:rPr>
              <w:t>) for this condition in the previous 24 months,</w:t>
            </w:r>
          </w:p>
          <w:p w:rsidR="00C27319" w:rsidRPr="00B43577" w:rsidRDefault="00C27319" w:rsidP="00C27319">
            <w:pPr>
              <w:pStyle w:val="NormalWeb"/>
              <w:rPr>
                <w:rFonts w:ascii="Arial Narrow" w:hAnsi="Arial Narrow"/>
                <w:sz w:val="20"/>
                <w:szCs w:val="20"/>
              </w:rPr>
            </w:pPr>
            <w:r w:rsidRPr="00B43577">
              <w:rPr>
                <w:rFonts w:ascii="Arial Narrow" w:hAnsi="Arial Narrow"/>
                <w:b/>
                <w:bCs/>
                <w:sz w:val="20"/>
                <w:szCs w:val="20"/>
              </w:rPr>
              <w:t>AND</w:t>
            </w:r>
          </w:p>
          <w:p w:rsidR="00C27319" w:rsidRPr="00B43577" w:rsidRDefault="00C27319" w:rsidP="00C27319">
            <w:pPr>
              <w:pStyle w:val="NormalWeb"/>
              <w:numPr>
                <w:ilvl w:val="0"/>
                <w:numId w:val="9"/>
              </w:numPr>
              <w:ind w:left="795"/>
              <w:rPr>
                <w:rFonts w:ascii="Arial Narrow" w:hAnsi="Arial Narrow"/>
                <w:sz w:val="20"/>
                <w:szCs w:val="20"/>
              </w:rPr>
            </w:pPr>
            <w:r w:rsidRPr="00B43577">
              <w:rPr>
                <w:rFonts w:ascii="Arial Narrow" w:hAnsi="Arial Narrow"/>
                <w:sz w:val="20"/>
                <w:szCs w:val="20"/>
              </w:rPr>
              <w:lastRenderedPageBreak/>
              <w:t xml:space="preserve">Patient must not have failed previous PBS-subsidised treatment with this drug for this condition, and have not already failed, or ceased to respond to, PBS-subsidised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treatment for this condition 5 times,</w:t>
            </w:r>
          </w:p>
          <w:p w:rsidR="00C27319" w:rsidRPr="00B43577" w:rsidRDefault="00C27319" w:rsidP="00C27319">
            <w:pPr>
              <w:pStyle w:val="NormalWeb"/>
              <w:rPr>
                <w:rFonts w:ascii="Arial Narrow" w:hAnsi="Arial Narrow"/>
                <w:sz w:val="20"/>
                <w:szCs w:val="20"/>
              </w:rPr>
            </w:pPr>
            <w:r w:rsidRPr="00B43577">
              <w:rPr>
                <w:rFonts w:ascii="Arial Narrow" w:hAnsi="Arial Narrow"/>
                <w:b/>
                <w:bCs/>
                <w:sz w:val="20"/>
                <w:szCs w:val="20"/>
              </w:rPr>
              <w:t>AND</w:t>
            </w:r>
          </w:p>
          <w:p w:rsidR="00C27319" w:rsidRPr="00B43577" w:rsidRDefault="00C27319" w:rsidP="00C27319">
            <w:pPr>
              <w:pStyle w:val="NormalWeb"/>
              <w:numPr>
                <w:ilvl w:val="0"/>
                <w:numId w:val="10"/>
              </w:numPr>
              <w:ind w:left="795"/>
              <w:rPr>
                <w:rFonts w:ascii="Arial Narrow" w:hAnsi="Arial Narrow"/>
                <w:b/>
                <w:sz w:val="20"/>
                <w:szCs w:val="20"/>
              </w:rPr>
            </w:pPr>
            <w:r w:rsidRPr="00B43577">
              <w:rPr>
                <w:rFonts w:ascii="Arial Narrow" w:hAnsi="Arial Narrow"/>
                <w:sz w:val="20"/>
                <w:szCs w:val="20"/>
              </w:rP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w:t>
            </w:r>
            <w:proofErr w:type="spellStart"/>
            <w:r w:rsidRPr="00B43577">
              <w:rPr>
                <w:rFonts w:ascii="Arial Narrow" w:hAnsi="Arial Narrow"/>
                <w:sz w:val="20"/>
                <w:szCs w:val="20"/>
              </w:rPr>
              <w:t>i</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hydroxychloroquine</w:t>
            </w:r>
            <w:proofErr w:type="spellEnd"/>
            <w:r w:rsidRPr="00B43577">
              <w:rPr>
                <w:rFonts w:ascii="Arial Narrow" w:hAnsi="Arial Narrow"/>
                <w:sz w:val="20"/>
                <w:szCs w:val="20"/>
              </w:rPr>
              <w:t xml:space="preserve"> at a dose of at least 200 mg daily; or (ii) </w:t>
            </w:r>
            <w:proofErr w:type="spellStart"/>
            <w:r w:rsidRPr="00B43577">
              <w:rPr>
                <w:rFonts w:ascii="Arial Narrow" w:hAnsi="Arial Narrow"/>
                <w:sz w:val="20"/>
                <w:szCs w:val="20"/>
              </w:rPr>
              <w:t>leflunomide</w:t>
            </w:r>
            <w:proofErr w:type="spellEnd"/>
            <w:r w:rsidRPr="00B43577">
              <w:rPr>
                <w:rFonts w:ascii="Arial Narrow" w:hAnsi="Arial Narrow"/>
                <w:sz w:val="20"/>
                <w:szCs w:val="20"/>
              </w:rPr>
              <w:t xml:space="preserve"> at a dose of at least 10 mg daily; or (iii) sulfasalazine at a dose of at least 2 g daily; </w:t>
            </w:r>
            <w:r w:rsidRPr="00B43577">
              <w:rPr>
                <w:rFonts w:ascii="Arial Narrow" w:hAnsi="Arial Narrow"/>
                <w:b/>
                <w:sz w:val="20"/>
                <w:szCs w:val="20"/>
              </w:rPr>
              <w:t>OR</w:t>
            </w:r>
          </w:p>
          <w:p w:rsidR="00C27319" w:rsidRPr="00B43577" w:rsidRDefault="00C27319" w:rsidP="00C27319">
            <w:pPr>
              <w:pStyle w:val="NormalWeb"/>
              <w:numPr>
                <w:ilvl w:val="0"/>
                <w:numId w:val="10"/>
              </w:numPr>
              <w:ind w:left="795"/>
              <w:rPr>
                <w:rFonts w:ascii="Arial Narrow" w:hAnsi="Arial Narrow"/>
                <w:sz w:val="20"/>
                <w:szCs w:val="20"/>
              </w:rPr>
            </w:pPr>
            <w:r w:rsidRPr="00B43577">
              <w:rPr>
                <w:rFonts w:ascii="Arial Narrow" w:hAnsi="Arial Narrow"/>
                <w:sz w:val="20"/>
                <w:szCs w:val="20"/>
              </w:rP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continuous treatment with each of at least 2 of the following DMARDs: (</w:t>
            </w:r>
            <w:proofErr w:type="spellStart"/>
            <w:r w:rsidRPr="00B43577">
              <w:rPr>
                <w:rFonts w:ascii="Arial Narrow" w:hAnsi="Arial Narrow"/>
                <w:sz w:val="20"/>
                <w:szCs w:val="20"/>
              </w:rPr>
              <w:t>i</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hydroxychloroquine</w:t>
            </w:r>
            <w:proofErr w:type="spellEnd"/>
            <w:r w:rsidRPr="00B43577">
              <w:rPr>
                <w:rFonts w:ascii="Arial Narrow" w:hAnsi="Arial Narrow"/>
                <w:sz w:val="20"/>
                <w:szCs w:val="20"/>
              </w:rPr>
              <w:t xml:space="preserve"> at a dose of at least 200 mg daily; and/or (ii) </w:t>
            </w:r>
            <w:proofErr w:type="spellStart"/>
            <w:r w:rsidRPr="00B43577">
              <w:rPr>
                <w:rFonts w:ascii="Arial Narrow" w:hAnsi="Arial Narrow"/>
                <w:sz w:val="20"/>
                <w:szCs w:val="20"/>
              </w:rPr>
              <w:t>leflunomide</w:t>
            </w:r>
            <w:proofErr w:type="spellEnd"/>
            <w:r w:rsidRPr="00B43577">
              <w:rPr>
                <w:rFonts w:ascii="Arial Narrow" w:hAnsi="Arial Narrow"/>
                <w:sz w:val="20"/>
                <w:szCs w:val="20"/>
              </w:rPr>
              <w:t xml:space="preserve"> at a dose of at least 10 mg daily; and/or (iii) sulfasalazine at a dose of at least 2 g daily; </w:t>
            </w:r>
            <w:r w:rsidRPr="00B43577">
              <w:rPr>
                <w:rFonts w:ascii="Arial Narrow" w:hAnsi="Arial Narrow"/>
                <w:b/>
                <w:sz w:val="20"/>
                <w:szCs w:val="20"/>
              </w:rPr>
              <w:t>OR</w:t>
            </w:r>
          </w:p>
          <w:p w:rsidR="00C27319" w:rsidRPr="00B43577" w:rsidRDefault="00C27319" w:rsidP="00C27319">
            <w:pPr>
              <w:pStyle w:val="NormalWeb"/>
              <w:numPr>
                <w:ilvl w:val="0"/>
                <w:numId w:val="10"/>
              </w:numPr>
              <w:ind w:left="795"/>
              <w:rPr>
                <w:rFonts w:ascii="Arial Narrow" w:hAnsi="Arial Narrow"/>
                <w:sz w:val="20"/>
                <w:szCs w:val="20"/>
              </w:rPr>
            </w:pPr>
            <w:r w:rsidRPr="00B43577">
              <w:rPr>
                <w:rFonts w:ascii="Arial Narrow" w:hAnsi="Arial Narrow"/>
                <w:sz w:val="20"/>
                <w:szCs w:val="20"/>
              </w:rPr>
              <w:t xml:space="preserve">Patient must have failed, in the 24 months immediately prior to the date of the application, to achieve an adequate response to a trial of at least 6 months of intensive treatment with DMARDs which, if 3 or more of methotrexate, </w:t>
            </w:r>
            <w:proofErr w:type="spellStart"/>
            <w:r w:rsidRPr="00B43577">
              <w:rPr>
                <w:rFonts w:ascii="Arial Narrow" w:hAnsi="Arial Narrow"/>
                <w:sz w:val="20"/>
                <w:szCs w:val="20"/>
              </w:rPr>
              <w:t>hydroxychloroquine</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leflunomide</w:t>
            </w:r>
            <w:proofErr w:type="spellEnd"/>
            <w:r w:rsidRPr="00B43577">
              <w:rPr>
                <w:rFonts w:ascii="Arial Narrow" w:hAnsi="Arial Narrow"/>
                <w:sz w:val="20"/>
                <w:szCs w:val="20"/>
              </w:rPr>
              <w:t xml:space="preserve"> and sulfasalazine are contraindicated according to the relevant TGA-approved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w:t>
            </w:r>
            <w:proofErr w:type="spellStart"/>
            <w:r w:rsidRPr="00B43577">
              <w:rPr>
                <w:rFonts w:ascii="Arial Narrow" w:hAnsi="Arial Narrow"/>
                <w:sz w:val="20"/>
                <w:szCs w:val="20"/>
              </w:rPr>
              <w:t>i</w:t>
            </w:r>
            <w:proofErr w:type="spellEnd"/>
            <w:r w:rsidRPr="00B43577">
              <w:rPr>
                <w:rFonts w:ascii="Arial Narrow" w:hAnsi="Arial Narrow"/>
                <w:sz w:val="20"/>
                <w:szCs w:val="20"/>
              </w:rPr>
              <w:t xml:space="preserve">) azathioprine at a dose of at least 1 mg/kg per day; and/or (ii) </w:t>
            </w:r>
            <w:proofErr w:type="spellStart"/>
            <w:r w:rsidRPr="00B43577">
              <w:rPr>
                <w:rFonts w:ascii="Arial Narrow" w:hAnsi="Arial Narrow"/>
                <w:sz w:val="20"/>
                <w:szCs w:val="20"/>
              </w:rPr>
              <w:t>cyclosporin</w:t>
            </w:r>
            <w:proofErr w:type="spellEnd"/>
            <w:r w:rsidRPr="00B43577">
              <w:rPr>
                <w:rFonts w:ascii="Arial Narrow" w:hAnsi="Arial Narrow"/>
                <w:sz w:val="20"/>
                <w:szCs w:val="20"/>
              </w:rPr>
              <w:t xml:space="preserve"> at a dose of at least 2 mg/kg/day; and/or (iii) sodium </w:t>
            </w:r>
            <w:proofErr w:type="spellStart"/>
            <w:r w:rsidRPr="00B43577">
              <w:rPr>
                <w:rFonts w:ascii="Arial Narrow" w:hAnsi="Arial Narrow"/>
                <w:sz w:val="20"/>
                <w:szCs w:val="20"/>
              </w:rPr>
              <w:t>aurothiomalate</w:t>
            </w:r>
            <w:proofErr w:type="spellEnd"/>
            <w:r w:rsidRPr="00B43577">
              <w:rPr>
                <w:rFonts w:ascii="Arial Narrow" w:hAnsi="Arial Narrow"/>
                <w:sz w:val="20"/>
                <w:szCs w:val="20"/>
              </w:rPr>
              <w:t xml:space="preserve"> at a dose of 50 mg weekly,</w:t>
            </w:r>
          </w:p>
          <w:p w:rsidR="00C27319" w:rsidRPr="00B43577" w:rsidRDefault="00C27319" w:rsidP="00C27319">
            <w:pPr>
              <w:pStyle w:val="NormalWeb"/>
              <w:rPr>
                <w:rFonts w:ascii="Arial Narrow" w:hAnsi="Arial Narrow"/>
                <w:sz w:val="20"/>
                <w:szCs w:val="20"/>
              </w:rPr>
            </w:pPr>
            <w:r w:rsidRPr="00B43577">
              <w:rPr>
                <w:rFonts w:ascii="Arial Narrow" w:hAnsi="Arial Narrow"/>
                <w:b/>
                <w:bCs/>
                <w:sz w:val="20"/>
                <w:szCs w:val="20"/>
              </w:rPr>
              <w:t>AND</w:t>
            </w:r>
          </w:p>
          <w:p w:rsidR="00C27319" w:rsidRPr="00B43577" w:rsidRDefault="00C27319" w:rsidP="00C27319">
            <w:pPr>
              <w:pStyle w:val="NormalWeb"/>
              <w:numPr>
                <w:ilvl w:val="0"/>
                <w:numId w:val="11"/>
              </w:numPr>
              <w:ind w:left="795"/>
              <w:rPr>
                <w:rFonts w:ascii="Arial Narrow" w:hAnsi="Arial Narrow"/>
                <w:sz w:val="20"/>
                <w:szCs w:val="20"/>
              </w:rPr>
            </w:pPr>
            <w:r w:rsidRPr="00B43577">
              <w:rPr>
                <w:rFonts w:ascii="Arial Narrow" w:hAnsi="Arial Narrow"/>
                <w:sz w:val="20"/>
                <w:szCs w:val="20"/>
              </w:rPr>
              <w:t>Patient must not receive more than 16 weeks of treatment under this restriction,</w:t>
            </w:r>
          </w:p>
          <w:p w:rsidR="00C27319" w:rsidRPr="00B43577" w:rsidRDefault="00C27319" w:rsidP="00C27319">
            <w:pPr>
              <w:pStyle w:val="NormalWeb"/>
              <w:rPr>
                <w:rFonts w:ascii="Arial Narrow" w:hAnsi="Arial Narrow"/>
                <w:sz w:val="20"/>
                <w:szCs w:val="20"/>
              </w:rPr>
            </w:pPr>
            <w:r w:rsidRPr="00B43577">
              <w:rPr>
                <w:rFonts w:ascii="Arial Narrow" w:hAnsi="Arial Narrow"/>
                <w:b/>
                <w:bCs/>
                <w:sz w:val="20"/>
                <w:szCs w:val="20"/>
              </w:rPr>
              <w:t>AND</w:t>
            </w:r>
          </w:p>
          <w:p w:rsidR="00C27319" w:rsidRPr="00B43577" w:rsidRDefault="00C27319" w:rsidP="00C27319">
            <w:pPr>
              <w:pStyle w:val="NormalWeb"/>
              <w:numPr>
                <w:ilvl w:val="0"/>
                <w:numId w:val="12"/>
              </w:numPr>
              <w:ind w:left="795"/>
              <w:rPr>
                <w:rFonts w:ascii="Arial Narrow" w:hAnsi="Arial Narrow"/>
                <w:sz w:val="20"/>
                <w:szCs w:val="20"/>
              </w:rPr>
            </w:pPr>
            <w:r w:rsidRPr="00B43577">
              <w:rPr>
                <w:rFonts w:ascii="Arial Narrow" w:hAnsi="Arial Narrow"/>
                <w:sz w:val="20"/>
                <w:szCs w:val="20"/>
              </w:rPr>
              <w:t>The treatment must be given concomitantly with methotrexate at a dose of at least 7.5 mg weekly.</w:t>
            </w:r>
          </w:p>
          <w:p w:rsidR="00013E05" w:rsidRPr="00B43577" w:rsidRDefault="00013E05" w:rsidP="00D203AD">
            <w:pPr>
              <w:spacing w:after="120"/>
              <w:ind w:left="342"/>
              <w:rPr>
                <w:rFonts w:ascii="Arial Narrow" w:hAnsi="Arial Narrow" w:cs="Arial"/>
                <w:sz w:val="20"/>
                <w:szCs w:val="20"/>
              </w:rPr>
            </w:pP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rPr>
                <w:rFonts w:ascii="Arial Narrow" w:hAnsi="Arial Narrow" w:cs="Arial"/>
                <w:sz w:val="20"/>
                <w:szCs w:val="20"/>
              </w:rPr>
            </w:pPr>
            <w:r w:rsidRPr="00B43577">
              <w:rPr>
                <w:rFonts w:ascii="Arial Narrow" w:hAnsi="Arial Narrow" w:cs="Arial"/>
                <w:b/>
                <w:sz w:val="20"/>
                <w:szCs w:val="20"/>
              </w:rPr>
              <w:lastRenderedPageBreak/>
              <w:t>Population criteria:</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C27319" w:rsidP="00C27319">
            <w:pPr>
              <w:pStyle w:val="NormalWeb"/>
              <w:rPr>
                <w:rFonts w:ascii="Arial Narrow" w:hAnsi="Arial Narrow"/>
                <w:sz w:val="20"/>
                <w:szCs w:val="20"/>
              </w:rPr>
            </w:pPr>
            <w:r w:rsidRPr="00B43577">
              <w:rPr>
                <w:rFonts w:ascii="Arial Narrow" w:hAnsi="Arial Narrow"/>
                <w:sz w:val="20"/>
                <w:szCs w:val="20"/>
              </w:rPr>
              <w:t>Patient must be aged 18 years or older.</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t>Foreword</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C27319" w:rsidP="00D203AD">
            <w:pPr>
              <w:rPr>
                <w:rFonts w:ascii="Arial Narrow" w:hAnsi="Arial Narrow" w:cs="Arial"/>
                <w:sz w:val="20"/>
                <w:szCs w:val="20"/>
              </w:rPr>
            </w:pPr>
            <w:r w:rsidRPr="00B43577">
              <w:rPr>
                <w:rFonts w:ascii="Arial Narrow" w:hAnsi="Arial Narrow" w:cs="Arial"/>
                <w:sz w:val="20"/>
                <w:szCs w:val="20"/>
              </w:rPr>
              <w:t>N/A</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sz w:val="20"/>
                <w:szCs w:val="20"/>
              </w:rPr>
            </w:pPr>
            <w:r w:rsidRPr="00B43577">
              <w:rPr>
                <w:rFonts w:ascii="Arial Narrow" w:hAnsi="Arial Narrow" w:cs="Arial"/>
                <w:b/>
                <w:sz w:val="20"/>
                <w:szCs w:val="20"/>
              </w:rPr>
              <w:t>Definitions</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C27319" w:rsidP="00D203AD">
            <w:pPr>
              <w:rPr>
                <w:rFonts w:ascii="Arial Narrow" w:hAnsi="Arial Narrow" w:cs="Arial"/>
                <w:sz w:val="20"/>
                <w:szCs w:val="20"/>
              </w:rPr>
            </w:pPr>
            <w:r w:rsidRPr="00B43577">
              <w:rPr>
                <w:rFonts w:ascii="Arial Narrow" w:hAnsi="Arial Narrow" w:cs="Arial"/>
                <w:sz w:val="20"/>
                <w:szCs w:val="20"/>
              </w:rPr>
              <w:t>N/A</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t>Prescriber Instructions</w:t>
            </w:r>
          </w:p>
          <w:p w:rsidR="00013E05" w:rsidRPr="00B43577" w:rsidRDefault="00013E05" w:rsidP="00D203AD">
            <w:pPr>
              <w:jc w:val="both"/>
              <w:rPr>
                <w:rFonts w:ascii="Arial Narrow" w:hAnsi="Arial Narrow" w:cs="Arial"/>
                <w:i/>
                <w:sz w:val="20"/>
                <w:szCs w:val="20"/>
              </w:rPr>
            </w:pPr>
          </w:p>
          <w:p w:rsidR="00013E05" w:rsidRPr="00B43577" w:rsidRDefault="00013E05" w:rsidP="00D203AD">
            <w:pPr>
              <w:jc w:val="both"/>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C27319" w:rsidP="00C27319">
            <w:pPr>
              <w:pStyle w:val="ListParagraph"/>
              <w:numPr>
                <w:ilvl w:val="0"/>
                <w:numId w:val="14"/>
              </w:numPr>
              <w:rPr>
                <w:rFonts w:ascii="Arial Narrow" w:hAnsi="Arial Narrow"/>
                <w:sz w:val="20"/>
                <w:szCs w:val="20"/>
              </w:rPr>
            </w:pPr>
            <w:r w:rsidRPr="00B43577">
              <w:rPr>
                <w:rFonts w:ascii="Arial Narrow" w:hAnsi="Arial Narrow"/>
                <w:sz w:val="20"/>
                <w:szCs w:val="20"/>
              </w:rPr>
              <w:t xml:space="preserve">For the purposes of this restriction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means </w:t>
            </w:r>
            <w:proofErr w:type="spellStart"/>
            <w:r w:rsidRPr="00B43577">
              <w:rPr>
                <w:rFonts w:ascii="Arial Narrow" w:hAnsi="Arial Narrow"/>
                <w:sz w:val="20"/>
                <w:szCs w:val="20"/>
              </w:rPr>
              <w:t>abatacept</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adalimumab</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certolizumab</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pegol</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etanercept</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golimumab</w:t>
            </w:r>
            <w:proofErr w:type="spellEnd"/>
            <w:r w:rsidRPr="00B43577">
              <w:rPr>
                <w:rFonts w:ascii="Arial Narrow" w:hAnsi="Arial Narrow"/>
                <w:sz w:val="20"/>
                <w:szCs w:val="20"/>
              </w:rPr>
              <w:t xml:space="preserve">, infliximab, rituximab or </w:t>
            </w:r>
            <w:proofErr w:type="spellStart"/>
            <w:r w:rsidRPr="00B43577">
              <w:rPr>
                <w:rFonts w:ascii="Arial Narrow" w:hAnsi="Arial Narrow"/>
                <w:sz w:val="20"/>
                <w:szCs w:val="20"/>
              </w:rPr>
              <w:t>tocilizumab</w:t>
            </w:r>
            <w:proofErr w:type="spellEnd"/>
          </w:p>
          <w:p w:rsidR="00B20524" w:rsidRPr="00B20524" w:rsidRDefault="00C27319" w:rsidP="00B20524">
            <w:pPr>
              <w:pStyle w:val="NormalWeb"/>
              <w:numPr>
                <w:ilvl w:val="0"/>
                <w:numId w:val="14"/>
              </w:numPr>
              <w:rPr>
                <w:rFonts w:ascii="Arial Narrow" w:hAnsi="Arial Narrow"/>
                <w:sz w:val="20"/>
                <w:szCs w:val="20"/>
              </w:rPr>
            </w:pPr>
            <w:r w:rsidRPr="00B43577">
              <w:rPr>
                <w:rFonts w:ascii="Arial Narrow" w:hAnsi="Arial Narrow"/>
                <w:sz w:val="20"/>
                <w:szCs w:val="20"/>
              </w:rPr>
              <w:t>If methotrexate is contraindicated according to the TGA-approved Product Information or cannot be tolerated at a 20 mg weekly dose, the application must include details of the contraindication or intolerance to methotrexate. The maximum tolerated dose of methotrexate must be documented in the application, if applicable.</w:t>
            </w:r>
            <w:r w:rsidR="00B20524">
              <w:t xml:space="preserve"> </w:t>
            </w:r>
          </w:p>
          <w:p w:rsidR="00B20524" w:rsidRPr="00B20524" w:rsidRDefault="00B20524" w:rsidP="00B20524">
            <w:pPr>
              <w:pStyle w:val="NormalWeb"/>
              <w:ind w:left="720"/>
              <w:rPr>
                <w:rFonts w:ascii="Arial Narrow" w:hAnsi="Arial Narrow"/>
                <w:sz w:val="20"/>
                <w:szCs w:val="20"/>
              </w:rPr>
            </w:pPr>
            <w:r w:rsidRPr="00B20524">
              <w:rPr>
                <w:rFonts w:ascii="Arial Narrow" w:hAnsi="Arial Narrow"/>
                <w:sz w:val="20"/>
                <w:szCs w:val="20"/>
              </w:rPr>
              <w:t xml:space="preserve">The application must include details of the DMARDs trialled, their doses and duration of treatment, and all relevant contraindications and/or intolerances. </w:t>
            </w:r>
          </w:p>
          <w:p w:rsidR="00B20524" w:rsidRPr="00B20524" w:rsidRDefault="00B20524" w:rsidP="00B20524">
            <w:pPr>
              <w:pStyle w:val="NormalWeb"/>
              <w:ind w:left="720"/>
              <w:rPr>
                <w:rFonts w:ascii="Arial Narrow" w:hAnsi="Arial Narrow"/>
                <w:sz w:val="20"/>
                <w:szCs w:val="20"/>
              </w:rPr>
            </w:pPr>
            <w:r w:rsidRPr="00B20524">
              <w:rPr>
                <w:rFonts w:ascii="Arial Narrow" w:hAnsi="Arial Narrow"/>
                <w:sz w:val="20"/>
                <w:szCs w:val="20"/>
              </w:rPr>
              <w:t>The requirement to trial at least 2 DMARDs for periods of at least 3 months each can be met using single agents sequentially or by using one or more combinations of DMARDs.</w:t>
            </w:r>
          </w:p>
          <w:p w:rsidR="00C27319" w:rsidRPr="00B43577" w:rsidRDefault="00B20524" w:rsidP="00B20524">
            <w:pPr>
              <w:pStyle w:val="NormalWeb"/>
              <w:ind w:left="720"/>
              <w:rPr>
                <w:rFonts w:ascii="Arial Narrow" w:hAnsi="Arial Narrow"/>
                <w:sz w:val="20"/>
                <w:szCs w:val="20"/>
              </w:rPr>
            </w:pPr>
            <w:r w:rsidRPr="00B20524">
              <w:rPr>
                <w:rFonts w:ascii="Arial Narrow" w:hAnsi="Arial Narrow"/>
                <w:sz w:val="20"/>
                <w:szCs w:val="20"/>
              </w:rPr>
              <w:t>If the requirement to trial 6 months of intensive DMARD therapy with at least 2 DMARDs</w:t>
            </w:r>
            <w:r>
              <w:rPr>
                <w:rFonts w:ascii="Arial Narrow" w:hAnsi="Arial Narrow"/>
                <w:sz w:val="20"/>
                <w:szCs w:val="20"/>
              </w:rPr>
              <w:t xml:space="preserve"> </w:t>
            </w:r>
            <w:r w:rsidRPr="00B20524">
              <w:rPr>
                <w:rFonts w:ascii="Arial Narrow" w:hAnsi="Arial Narrow"/>
                <w:sz w:val="20"/>
                <w:szCs w:val="20"/>
              </w:rPr>
              <w:t xml:space="preserve">cannot be met because of contraindications and/or intolerances of a severity </w:t>
            </w:r>
            <w:r w:rsidRPr="00B20524">
              <w:rPr>
                <w:rFonts w:ascii="Arial Narrow" w:hAnsi="Arial Narrow"/>
                <w:sz w:val="20"/>
                <w:szCs w:val="20"/>
              </w:rPr>
              <w:lastRenderedPageBreak/>
              <w:t>necessitating permanent treatment withdrawal to all of the DMARDs specified above, details of the contraindication or intolerance and dose for each DMARD must be provided in the authority application.</w:t>
            </w:r>
          </w:p>
          <w:p w:rsidR="00C27319" w:rsidRPr="00B43577" w:rsidRDefault="00C27319" w:rsidP="00C27319">
            <w:pPr>
              <w:pStyle w:val="NormalWeb"/>
              <w:numPr>
                <w:ilvl w:val="0"/>
                <w:numId w:val="15"/>
              </w:numPr>
              <w:rPr>
                <w:rFonts w:ascii="Arial Narrow" w:hAnsi="Arial Narrow"/>
                <w:sz w:val="20"/>
                <w:szCs w:val="20"/>
              </w:rPr>
            </w:pPr>
            <w:r w:rsidRPr="00B43577">
              <w:rPr>
                <w:rFonts w:ascii="Arial Narrow" w:hAnsi="Arial Narrow"/>
                <w:sz w:val="20"/>
                <w:szCs w:val="20"/>
              </w:rPr>
              <w:t>The authority application must be made in writing and must include:</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ab/>
              <w:t>(1) a completed authority prescription form; and</w:t>
            </w:r>
          </w:p>
          <w:p w:rsidR="00C27319" w:rsidRPr="00B43577" w:rsidRDefault="00C27319" w:rsidP="00B20524">
            <w:pPr>
              <w:pStyle w:val="NormalWeb"/>
              <w:ind w:left="743"/>
              <w:rPr>
                <w:rFonts w:ascii="Arial Narrow" w:hAnsi="Arial Narrow"/>
                <w:sz w:val="20"/>
                <w:szCs w:val="20"/>
              </w:rPr>
            </w:pPr>
            <w:r w:rsidRPr="00B43577">
              <w:rPr>
                <w:rFonts w:ascii="Arial Narrow" w:hAnsi="Arial Narrow"/>
                <w:sz w:val="20"/>
                <w:szCs w:val="20"/>
              </w:rPr>
              <w:t>(</w:t>
            </w:r>
            <w:r w:rsidR="00B20524" w:rsidRPr="00B20524">
              <w:rPr>
                <w:rFonts w:ascii="Arial Narrow" w:hAnsi="Arial Narrow"/>
                <w:sz w:val="20"/>
                <w:szCs w:val="20"/>
              </w:rPr>
              <w:t>2) a completed Rheumatoid Arthritis PBS Authority Application - Supporting</w:t>
            </w:r>
            <w:r w:rsidR="00B20524">
              <w:rPr>
                <w:rFonts w:ascii="Arial Narrow" w:hAnsi="Arial Narrow"/>
                <w:sz w:val="20"/>
                <w:szCs w:val="20"/>
              </w:rPr>
              <w:br/>
            </w:r>
            <w:r w:rsidR="00B20524" w:rsidRPr="00B20524">
              <w:rPr>
                <w:rFonts w:ascii="Arial Narrow" w:hAnsi="Arial Narrow"/>
                <w:sz w:val="20"/>
                <w:szCs w:val="20"/>
              </w:rPr>
              <w:t xml:space="preserve"> information Form; and</w:t>
            </w:r>
            <w:r w:rsidRPr="00B43577">
              <w:rPr>
                <w:rFonts w:ascii="Arial Narrow" w:hAnsi="Arial Narrow"/>
                <w:sz w:val="20"/>
                <w:szCs w:val="20"/>
              </w:rPr>
              <w:t xml:space="preserve">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ab/>
              <w:t xml:space="preserve">(3) </w:t>
            </w:r>
            <w:proofErr w:type="gramStart"/>
            <w:r w:rsidRPr="00B43577">
              <w:rPr>
                <w:rFonts w:ascii="Arial Narrow" w:hAnsi="Arial Narrow"/>
                <w:sz w:val="20"/>
                <w:szCs w:val="20"/>
              </w:rPr>
              <w:t>a</w:t>
            </w:r>
            <w:proofErr w:type="gramEnd"/>
            <w:r w:rsidRPr="00B43577">
              <w:rPr>
                <w:rFonts w:ascii="Arial Narrow" w:hAnsi="Arial Narrow"/>
                <w:sz w:val="20"/>
                <w:szCs w:val="20"/>
              </w:rPr>
              <w:t xml:space="preserve"> signed patient acknowledgement.</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At the time of authority application, medical practitioners should request the appropriate number of vials to provide sufficient drug, based on the weight of the patient, for a single infusion. Up to a maximum of 4 repeats will be authorised.</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Assessment of a patient's response to an initial course of treatment must be made after at least 12 weeks of treatment so that there is adequate time for a response to be demonstrated. This assessment, which will be used to determine eligibility for continuing treatment, must be submitted no later than 1 month from the date of completion of this initial course of treatment.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Where a response assessment is not undertaken and submitted within these timeframes, the patient will be deemed to have failed to respond to treatment with this drug.</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Applications for a patient who has received PBS-subsidised treatment with this drug and who wishes to re-commence therapy with this </w:t>
            </w:r>
            <w:proofErr w:type="gramStart"/>
            <w:r w:rsidRPr="00B43577">
              <w:rPr>
                <w:rFonts w:ascii="Arial Narrow" w:hAnsi="Arial Narrow"/>
                <w:sz w:val="20"/>
                <w:szCs w:val="20"/>
              </w:rPr>
              <w:t>drug,</w:t>
            </w:r>
            <w:proofErr w:type="gramEnd"/>
            <w:r w:rsidRPr="00B43577">
              <w:rPr>
                <w:rFonts w:ascii="Arial Narrow" w:hAnsi="Arial Narrow"/>
                <w:sz w:val="20"/>
                <w:szCs w:val="20"/>
              </w:rPr>
              <w:t xml:space="preserve"> must be accompanied by evidence of a response to the patient's most recent course of PBS-subsidised treatment, within the timeframes specified below.</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Where the most recent course of PBS-subsidised treatment with this drug was approved under either of the initial 1 or 2 treatment restrictions, the patient must have been assessed for response following a minimum of 12 weeks of therapy. This assessment must be submitted no later than 4 weeks from the date that course was ceased.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Where the most recent course of PBS-subsidised treatment with this drug was approved under the continuing treatment criteria, the patient must have been assessed for response, and the assessment must be submitted no later than 4 weeks from the date that course was ceased.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If a patient fails to demonstrate a response to treatment with this drug under this restriction they will not be eligible to receive further PBS-subsidised treatment with this drug for this condition.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The following criteria indicate failure to achieve an adequate response and must be demonstrated in all patients at the time of the initial application: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an elevated erythrocyte sedimentation rate (ESR) greater than 25 mm per hour or a C-reactive protein (CRP) level greater than 15 mg per L; AND either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(a) a total active joint count of at least 20 active (swollen and tender) joints; or</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(b) at least 4 active joints from the following list of major joints: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w:t>
            </w:r>
            <w:proofErr w:type="spellStart"/>
            <w:r w:rsidRPr="00B43577">
              <w:rPr>
                <w:rFonts w:ascii="Arial Narrow" w:hAnsi="Arial Narrow"/>
                <w:sz w:val="20"/>
                <w:szCs w:val="20"/>
              </w:rPr>
              <w:t>i</w:t>
            </w:r>
            <w:proofErr w:type="spellEnd"/>
            <w:r w:rsidRPr="00B43577">
              <w:rPr>
                <w:rFonts w:ascii="Arial Narrow" w:hAnsi="Arial Narrow"/>
                <w:sz w:val="20"/>
                <w:szCs w:val="20"/>
              </w:rPr>
              <w:t>) elbow, wrist, knee and/or ankle (assessed as swollen and tender); and/or</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(ii) </w:t>
            </w:r>
            <w:proofErr w:type="gramStart"/>
            <w:r w:rsidRPr="00B43577">
              <w:rPr>
                <w:rFonts w:ascii="Arial Narrow" w:hAnsi="Arial Narrow"/>
                <w:sz w:val="20"/>
                <w:szCs w:val="20"/>
              </w:rPr>
              <w:t>shoulder</w:t>
            </w:r>
            <w:proofErr w:type="gramEnd"/>
            <w:r w:rsidRPr="00B43577">
              <w:rPr>
                <w:rFonts w:ascii="Arial Narrow" w:hAnsi="Arial Narrow"/>
                <w:sz w:val="20"/>
                <w:szCs w:val="20"/>
              </w:rPr>
              <w:t xml:space="preserve"> and/or hip (assessed as pain in passive movement and restriction of passive movement, where pain and limitation of movement are due to active disease and not irreversible damage such as joint destruction or bony overgrowth).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The joint count and ESR and/or CRP must be determined at the completion of the 6 month intensive DMARD trial, but prior to ceasing DMARD therapy. All measures must be no more than one month old at the time of initial application.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If the above requirement to demonstrate an elevated ESR or CRP cannot be met, the application must state the reasons why this criterion cannot be satisfied.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Where the baseline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is provided with the initial application, the same marker will be used to determine response.</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lastRenderedPageBreak/>
              <w:t>Administrative Advice</w:t>
            </w:r>
          </w:p>
        </w:tc>
        <w:tc>
          <w:tcPr>
            <w:tcW w:w="7371" w:type="dxa"/>
            <w:gridSpan w:val="6"/>
            <w:tcBorders>
              <w:top w:val="single" w:sz="4" w:space="0" w:color="auto"/>
              <w:left w:val="single" w:sz="4" w:space="0" w:color="auto"/>
              <w:bottom w:val="single" w:sz="4" w:space="0" w:color="auto"/>
              <w:right w:val="single" w:sz="4" w:space="0" w:color="auto"/>
            </w:tcBorders>
          </w:tcPr>
          <w:p w:rsidR="00C27319" w:rsidRPr="00B43577" w:rsidRDefault="00C27319" w:rsidP="00C27319">
            <w:pPr>
              <w:pStyle w:val="NormalWeb"/>
              <w:numPr>
                <w:ilvl w:val="0"/>
                <w:numId w:val="15"/>
              </w:numPr>
              <w:rPr>
                <w:rFonts w:ascii="Arial Narrow" w:hAnsi="Arial Narrow"/>
                <w:sz w:val="20"/>
                <w:szCs w:val="20"/>
              </w:rPr>
            </w:pPr>
            <w:r w:rsidRPr="00B43577">
              <w:rPr>
                <w:rFonts w:ascii="Arial Narrow" w:hAnsi="Arial Narrow"/>
                <w:sz w:val="20"/>
                <w:szCs w:val="20"/>
              </w:rPr>
              <w:t>The Department of Human Services website (www.humanservices.gov.au) has details of the toxicities, including severity, which will be accepted for the following purposes: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ab/>
              <w:t xml:space="preserve">(a) exempting a patient from the requirement to undertake a minimum 3 month trial of </w:t>
            </w:r>
            <w:r w:rsidRPr="00B43577">
              <w:rPr>
                <w:rFonts w:ascii="Arial Narrow" w:hAnsi="Arial Narrow"/>
                <w:sz w:val="20"/>
                <w:szCs w:val="20"/>
              </w:rPr>
              <w:lastRenderedPageBreak/>
              <w:tab/>
              <w:t xml:space="preserve">methotrexate at a 20 mg weekly dose; </w:t>
            </w:r>
          </w:p>
          <w:p w:rsidR="00C27319" w:rsidRPr="00B43577" w:rsidRDefault="00C27319" w:rsidP="00B20524">
            <w:pPr>
              <w:pStyle w:val="NormalWeb"/>
              <w:ind w:left="743" w:hanging="567"/>
              <w:rPr>
                <w:rFonts w:ascii="Arial Narrow" w:hAnsi="Arial Narrow"/>
                <w:sz w:val="20"/>
                <w:szCs w:val="20"/>
              </w:rPr>
            </w:pPr>
            <w:r w:rsidRPr="00B43577">
              <w:rPr>
                <w:rFonts w:ascii="Arial Narrow" w:hAnsi="Arial Narrow"/>
                <w:sz w:val="20"/>
                <w:szCs w:val="20"/>
              </w:rPr>
              <w:tab/>
              <w:t xml:space="preserve">(b) substituting azathioprine, </w:t>
            </w:r>
            <w:proofErr w:type="spellStart"/>
            <w:r w:rsidRPr="00B43577">
              <w:rPr>
                <w:rFonts w:ascii="Arial Narrow" w:hAnsi="Arial Narrow"/>
                <w:sz w:val="20"/>
                <w:szCs w:val="20"/>
              </w:rPr>
              <w:t>cyclosporin</w:t>
            </w:r>
            <w:proofErr w:type="spellEnd"/>
            <w:r w:rsidRPr="00B43577">
              <w:rPr>
                <w:rFonts w:ascii="Arial Narrow" w:hAnsi="Arial Narrow"/>
                <w:sz w:val="20"/>
                <w:szCs w:val="20"/>
              </w:rPr>
              <w:t xml:space="preserve"> or sodium </w:t>
            </w:r>
            <w:proofErr w:type="spellStart"/>
            <w:r w:rsidRPr="00B43577">
              <w:rPr>
                <w:rFonts w:ascii="Arial Narrow" w:hAnsi="Arial Narrow"/>
                <w:sz w:val="20"/>
                <w:szCs w:val="20"/>
              </w:rPr>
              <w:t>aurot</w:t>
            </w:r>
            <w:r w:rsidR="00B20524">
              <w:rPr>
                <w:rFonts w:ascii="Arial Narrow" w:hAnsi="Arial Narrow"/>
                <w:sz w:val="20"/>
                <w:szCs w:val="20"/>
              </w:rPr>
              <w:t>hiomalate</w:t>
            </w:r>
            <w:proofErr w:type="spellEnd"/>
            <w:r w:rsidR="00B20524">
              <w:rPr>
                <w:rFonts w:ascii="Arial Narrow" w:hAnsi="Arial Narrow"/>
                <w:sz w:val="20"/>
                <w:szCs w:val="20"/>
              </w:rPr>
              <w:t xml:space="preserve"> for another DMARD as </w:t>
            </w:r>
            <w:r w:rsidRPr="00B43577">
              <w:rPr>
                <w:rFonts w:ascii="Arial Narrow" w:hAnsi="Arial Narrow"/>
                <w:sz w:val="20"/>
                <w:szCs w:val="20"/>
              </w:rPr>
              <w:t xml:space="preserve">part </w:t>
            </w:r>
            <w:bookmarkStart w:id="0" w:name="_GoBack"/>
            <w:bookmarkEnd w:id="0"/>
            <w:r w:rsidRPr="00B43577">
              <w:rPr>
                <w:rFonts w:ascii="Arial Narrow" w:hAnsi="Arial Narrow"/>
                <w:sz w:val="20"/>
                <w:szCs w:val="20"/>
              </w:rPr>
              <w:t>of the 6 month intensive DMARD trial;</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ab/>
              <w:t xml:space="preserve">(c) </w:t>
            </w:r>
            <w:proofErr w:type="gramStart"/>
            <w:r w:rsidRPr="00B43577">
              <w:rPr>
                <w:rFonts w:ascii="Arial Narrow" w:hAnsi="Arial Narrow"/>
                <w:sz w:val="20"/>
                <w:szCs w:val="20"/>
              </w:rPr>
              <w:t>exempting</w:t>
            </w:r>
            <w:proofErr w:type="gramEnd"/>
            <w:r w:rsidRPr="00B43577">
              <w:rPr>
                <w:rFonts w:ascii="Arial Narrow" w:hAnsi="Arial Narrow"/>
                <w:sz w:val="20"/>
                <w:szCs w:val="20"/>
              </w:rPr>
              <w:t xml:space="preserve"> a patient from the requirement for a 6 month trial of intensive DMARD </w:t>
            </w:r>
            <w:r w:rsidRPr="00B43577">
              <w:rPr>
                <w:rFonts w:ascii="Arial Narrow" w:hAnsi="Arial Narrow"/>
                <w:sz w:val="20"/>
                <w:szCs w:val="20"/>
              </w:rPr>
              <w:tab/>
              <w:t xml:space="preserve">therapy. </w:t>
            </w:r>
          </w:p>
          <w:p w:rsidR="00C27319" w:rsidRPr="00B43577" w:rsidRDefault="00C27319" w:rsidP="00C27319">
            <w:pPr>
              <w:pStyle w:val="NormalWeb"/>
              <w:numPr>
                <w:ilvl w:val="0"/>
                <w:numId w:val="15"/>
              </w:numPr>
              <w:rPr>
                <w:rFonts w:ascii="Arial Narrow" w:hAnsi="Arial Narrow"/>
                <w:sz w:val="20"/>
                <w:szCs w:val="20"/>
              </w:rPr>
            </w:pPr>
            <w:r w:rsidRPr="00B43577">
              <w:rPr>
                <w:rFonts w:ascii="Arial Narrow" w:hAnsi="Arial Narrow"/>
                <w:sz w:val="20"/>
                <w:szCs w:val="20"/>
              </w:rPr>
              <w:t>Special Pricing Arrangements apply.</w:t>
            </w:r>
          </w:p>
          <w:p w:rsidR="00C27319" w:rsidRPr="00B43577" w:rsidRDefault="00C27319" w:rsidP="00C27319">
            <w:pPr>
              <w:pStyle w:val="NormalWeb"/>
              <w:ind w:left="0"/>
              <w:rPr>
                <w:rFonts w:ascii="Arial Narrow" w:hAnsi="Arial Narrow"/>
                <w:sz w:val="20"/>
                <w:szCs w:val="20"/>
              </w:rPr>
            </w:pPr>
            <w:r w:rsidRPr="00B43577">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Applications for authority to prescribe should be forwarded to:</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Department of Human Services </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Prior Written Approval of Complex Drugs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Reply Paid 9826</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HOBART TAS 7001</w:t>
            </w:r>
          </w:p>
          <w:p w:rsidR="00013E05" w:rsidRPr="00B43577" w:rsidRDefault="00013E05" w:rsidP="00D203AD">
            <w:pPr>
              <w:rPr>
                <w:rFonts w:ascii="Arial Narrow" w:hAnsi="Arial Narrow" w:cs="Arial"/>
                <w:sz w:val="20"/>
                <w:szCs w:val="20"/>
              </w:rPr>
            </w:pPr>
          </w:p>
          <w:p w:rsidR="00C27319" w:rsidRPr="00B43577" w:rsidRDefault="00C27319" w:rsidP="00C27319">
            <w:pPr>
              <w:pStyle w:val="NormalWeb"/>
              <w:rPr>
                <w:rFonts w:ascii="Arial Narrow" w:hAnsi="Arial Narrow"/>
                <w:b/>
                <w:sz w:val="20"/>
                <w:szCs w:val="20"/>
              </w:rPr>
            </w:pPr>
            <w:r w:rsidRPr="00B43577">
              <w:rPr>
                <w:rFonts w:ascii="Arial Narrow" w:hAnsi="Arial Narrow"/>
                <w:b/>
                <w:sz w:val="20"/>
                <w:szCs w:val="20"/>
              </w:rPr>
              <w:t>TREATMENT OF ADULT PATIENTS WITH SEVERE ACTIVE RHEUMATOID ARTHRITIS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The following information applies to the prescribing under the Pharmaceutical Benefits Scheme (PBS) of the biological disease modifying </w:t>
            </w:r>
            <w:proofErr w:type="spellStart"/>
            <w:r w:rsidRPr="00B43577">
              <w:rPr>
                <w:rFonts w:ascii="Arial Narrow" w:hAnsi="Arial Narrow"/>
                <w:sz w:val="20"/>
                <w:szCs w:val="20"/>
              </w:rPr>
              <w:t>antirheumatic</w:t>
            </w:r>
            <w:proofErr w:type="spellEnd"/>
            <w:r w:rsidRPr="00B43577">
              <w:rPr>
                <w:rFonts w:ascii="Arial Narrow" w:hAnsi="Arial Narrow"/>
                <w:sz w:val="20"/>
                <w:szCs w:val="20"/>
              </w:rPr>
              <w:t xml:space="preserve"> drugs (</w:t>
            </w:r>
            <w:proofErr w:type="spellStart"/>
            <w:r w:rsidRPr="00B43577">
              <w:rPr>
                <w:rFonts w:ascii="Arial Narrow" w:hAnsi="Arial Narrow"/>
                <w:sz w:val="20"/>
                <w:szCs w:val="20"/>
              </w:rPr>
              <w:t>bDMARDs</w:t>
            </w:r>
            <w:proofErr w:type="spellEnd"/>
            <w:r w:rsidRPr="00B43577">
              <w:rPr>
                <w:rFonts w:ascii="Arial Narrow" w:hAnsi="Arial Narrow"/>
                <w:sz w:val="20"/>
                <w:szCs w:val="20"/>
              </w:rPr>
              <w:t xml:space="preserve">) for adults with severe active rheumatoid arthritis. Where the term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appears in the following notes and restrictions it refers to the tumour necrosis factor (TNF) </w:t>
            </w:r>
            <w:proofErr w:type="spellStart"/>
            <w:r w:rsidRPr="00B43577">
              <w:rPr>
                <w:rFonts w:ascii="Arial Narrow" w:hAnsi="Arial Narrow"/>
                <w:sz w:val="20"/>
                <w:szCs w:val="20"/>
              </w:rPr>
              <w:t>alfa</w:t>
            </w:r>
            <w:proofErr w:type="spellEnd"/>
            <w:r w:rsidRPr="00B43577">
              <w:rPr>
                <w:rFonts w:ascii="Arial Narrow" w:hAnsi="Arial Narrow"/>
                <w:sz w:val="20"/>
                <w:szCs w:val="20"/>
              </w:rPr>
              <w:t xml:space="preserve"> antagonists (</w:t>
            </w:r>
            <w:proofErr w:type="spellStart"/>
            <w:r w:rsidRPr="00B43577">
              <w:rPr>
                <w:rFonts w:ascii="Arial Narrow" w:hAnsi="Arial Narrow"/>
                <w:sz w:val="20"/>
                <w:szCs w:val="20"/>
              </w:rPr>
              <w:t>adalimumab</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certolizumab</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pegol</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etanercept</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golimumab</w:t>
            </w:r>
            <w:proofErr w:type="spellEnd"/>
            <w:r w:rsidRPr="00B43577">
              <w:rPr>
                <w:rFonts w:ascii="Arial Narrow" w:hAnsi="Arial Narrow"/>
                <w:sz w:val="20"/>
                <w:szCs w:val="20"/>
              </w:rPr>
              <w:t xml:space="preserve">, </w:t>
            </w:r>
            <w:proofErr w:type="gramStart"/>
            <w:r w:rsidRPr="00B43577">
              <w:rPr>
                <w:rFonts w:ascii="Arial Narrow" w:hAnsi="Arial Narrow"/>
                <w:sz w:val="20"/>
                <w:szCs w:val="20"/>
              </w:rPr>
              <w:t>infliximab</w:t>
            </w:r>
            <w:proofErr w:type="gramEnd"/>
            <w:r w:rsidRPr="00B43577">
              <w:rPr>
                <w:rFonts w:ascii="Arial Narrow" w:hAnsi="Arial Narrow"/>
                <w:sz w:val="20"/>
                <w:szCs w:val="20"/>
              </w:rPr>
              <w:t>), the chimeric anti-CD20 monoclonal antibody (rituximab), the interleukin-6 inhibitor (</w:t>
            </w:r>
            <w:proofErr w:type="spellStart"/>
            <w:r w:rsidRPr="00B43577">
              <w:rPr>
                <w:rFonts w:ascii="Arial Narrow" w:hAnsi="Arial Narrow"/>
                <w:sz w:val="20"/>
                <w:szCs w:val="20"/>
              </w:rPr>
              <w:t>tocilizumab</w:t>
            </w:r>
            <w:proofErr w:type="spellEnd"/>
            <w:r w:rsidRPr="00B43577">
              <w:rPr>
                <w:rFonts w:ascii="Arial Narrow" w:hAnsi="Arial Narrow"/>
                <w:sz w:val="20"/>
                <w:szCs w:val="20"/>
              </w:rPr>
              <w:t>) and the T-cell co-stimulation modulator (</w:t>
            </w:r>
            <w:proofErr w:type="spellStart"/>
            <w:r w:rsidRPr="00B43577">
              <w:rPr>
                <w:rFonts w:ascii="Arial Narrow" w:hAnsi="Arial Narrow"/>
                <w:sz w:val="20"/>
                <w:szCs w:val="20"/>
              </w:rPr>
              <w:t>abatacept</w:t>
            </w:r>
            <w:proofErr w:type="spellEnd"/>
            <w:r w:rsidRPr="00B43577">
              <w:rPr>
                <w:rFonts w:ascii="Arial Narrow" w:hAnsi="Arial Narrow"/>
                <w:sz w:val="20"/>
                <w:szCs w:val="20"/>
              </w:rPr>
              <w:t>).</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Patients are eligible for PBS-subsidised treatment with only 1 of the above biological disease modifying anti-rheumatic drugs at any 1 time.</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In order to be eligible to receive PBS-subsidised treatment with rituximab, a patient must have already failed to demonstrate a response to at least 1 course of treatment with a PBS-subsidised TNF-</w:t>
            </w:r>
            <w:proofErr w:type="spellStart"/>
            <w:r w:rsidRPr="00B43577">
              <w:rPr>
                <w:rFonts w:ascii="Arial Narrow" w:hAnsi="Arial Narrow"/>
                <w:sz w:val="20"/>
                <w:szCs w:val="20"/>
              </w:rPr>
              <w:t>alfa</w:t>
            </w:r>
            <w:proofErr w:type="spellEnd"/>
            <w:r w:rsidRPr="00B43577">
              <w:rPr>
                <w:rFonts w:ascii="Arial Narrow" w:hAnsi="Arial Narrow"/>
                <w:sz w:val="20"/>
                <w:szCs w:val="20"/>
              </w:rPr>
              <w:t xml:space="preserve"> antagonist.</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A patient receiving PBS-subsidised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therapy may swap to an alternate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without having to experience a disease flare. Under these interchangeability arrangements: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 a patient may continue to receive long-term treatment with a PBS-subsidised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while they continue to show a response to therapy,</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 a patient cannot trial and fail, or cease to respond to, the same PBS-subsidised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more than once, and</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 once a patient has either failed or ceased to respond to treatment 5 times, they will not be eligible to receive further PBS-subsidised </w:t>
            </w:r>
            <w:proofErr w:type="spellStart"/>
            <w:r w:rsidRPr="00B43577">
              <w:rPr>
                <w:rFonts w:ascii="Arial Narrow" w:hAnsi="Arial Narrow"/>
                <w:sz w:val="20"/>
                <w:szCs w:val="20"/>
              </w:rPr>
              <w:t>bDMARDs</w:t>
            </w:r>
            <w:proofErr w:type="spellEnd"/>
            <w:r w:rsidRPr="00B43577">
              <w:rPr>
                <w:rFonts w:ascii="Arial Narrow" w:hAnsi="Arial Narrow"/>
                <w:sz w:val="20"/>
                <w:szCs w:val="20"/>
              </w:rPr>
              <w:t xml:space="preserve"> for the treatment of rheumatoid arthritis.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For patients who have failed PBS-subsidised treatment with 2 or 3 TNF-</w:t>
            </w:r>
            <w:proofErr w:type="spellStart"/>
            <w:r w:rsidRPr="00B43577">
              <w:rPr>
                <w:rFonts w:ascii="Arial Narrow" w:hAnsi="Arial Narrow"/>
                <w:sz w:val="20"/>
                <w:szCs w:val="20"/>
              </w:rPr>
              <w:t>alfa</w:t>
            </w:r>
            <w:proofErr w:type="spellEnd"/>
            <w:r w:rsidRPr="00B43577">
              <w:rPr>
                <w:rFonts w:ascii="Arial Narrow" w:hAnsi="Arial Narrow"/>
                <w:sz w:val="20"/>
                <w:szCs w:val="20"/>
              </w:rPr>
              <w:t xml:space="preserve"> antagonists prior to 1 August 2010 please contact the Department of Human Services on 1800 700 270.</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A patient whose most recent course of PBS-subsidised therapy was with rituximab and whose response to this treatment is sustained for more than 12 months, may apply for a further course of rituximab under the Continuing treatment restriction. A patient who has failed fewer than 5 </w:t>
            </w:r>
            <w:proofErr w:type="spellStart"/>
            <w:r w:rsidRPr="00B43577">
              <w:rPr>
                <w:rFonts w:ascii="Arial Narrow" w:hAnsi="Arial Narrow"/>
                <w:sz w:val="20"/>
                <w:szCs w:val="20"/>
              </w:rPr>
              <w:t>bDMARDs</w:t>
            </w:r>
            <w:proofErr w:type="spellEnd"/>
            <w:r w:rsidRPr="00B43577">
              <w:rPr>
                <w:rFonts w:ascii="Arial Narrow" w:hAnsi="Arial Narrow"/>
                <w:sz w:val="20"/>
                <w:szCs w:val="20"/>
              </w:rPr>
              <w:t xml:space="preserve"> and who has a break in therapy of less than 24 months may commence a further course of treatment with a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without having to requalify under the Initial 1 treatment restriction. A patient who has failed fewer than 5 </w:t>
            </w:r>
            <w:proofErr w:type="spellStart"/>
            <w:r w:rsidRPr="00B43577">
              <w:rPr>
                <w:rFonts w:ascii="Arial Narrow" w:hAnsi="Arial Narrow"/>
                <w:sz w:val="20"/>
                <w:szCs w:val="20"/>
              </w:rPr>
              <w:t>bDMARDs</w:t>
            </w:r>
            <w:proofErr w:type="spellEnd"/>
            <w:r w:rsidRPr="00B43577">
              <w:rPr>
                <w:rFonts w:ascii="Arial Narrow" w:hAnsi="Arial Narrow"/>
                <w:sz w:val="20"/>
                <w:szCs w:val="20"/>
              </w:rPr>
              <w:t xml:space="preserve"> and who has had a break in therapy of longer than 24 months must requalify for treatment under the Initial 1 treatment restriction.</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The length of a treatment break is measured from the date the most recent treatment with PBS-subsidised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treatment is stopped to the date of the new application for treatment with a </w:t>
            </w:r>
            <w:proofErr w:type="spellStart"/>
            <w:r w:rsidRPr="00B43577">
              <w:rPr>
                <w:rFonts w:ascii="Arial Narrow" w:hAnsi="Arial Narrow"/>
                <w:sz w:val="20"/>
                <w:szCs w:val="20"/>
              </w:rPr>
              <w:t>bDMARD</w:t>
            </w:r>
            <w:proofErr w:type="spellEnd"/>
            <w:r w:rsidRPr="00B43577">
              <w:rPr>
                <w:rFonts w:ascii="Arial Narrow" w:hAnsi="Arial Narrow"/>
                <w:sz w:val="20"/>
                <w:szCs w:val="20"/>
              </w:rPr>
              <w:t>.</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(1) How to prescribe PBS-subsidised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therapy after 1 August 2010.</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lastRenderedPageBreak/>
              <w:t>(a) Initial treatment.</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Applications for initial treatment should be made where:</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w:t>
            </w:r>
            <w:proofErr w:type="spellStart"/>
            <w:r w:rsidRPr="00B43577">
              <w:rPr>
                <w:rFonts w:ascii="Arial Narrow" w:hAnsi="Arial Narrow"/>
                <w:sz w:val="20"/>
                <w:szCs w:val="20"/>
              </w:rPr>
              <w:t>i</w:t>
            </w:r>
            <w:proofErr w:type="spellEnd"/>
            <w:r w:rsidRPr="00B43577">
              <w:rPr>
                <w:rFonts w:ascii="Arial Narrow" w:hAnsi="Arial Narrow"/>
                <w:sz w:val="20"/>
                <w:szCs w:val="20"/>
              </w:rPr>
              <w:t xml:space="preserve">) a patient has received no prior PBS-subsidised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treatment and wishes to commence such therapy, excluding rituximab (Initial 1); or</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(ii) a patient wishes to re-commence treatment with a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following a break in PBS-subsidised therapy of more than 24 months (Initial 1); or</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(iii) a patient has received prior PBS-subsidised (initial or continuing)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therapy and wishes to trial an alternate agent (Initial 2) [further details are under 'Swapping therapy' below]; or</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(iv) </w:t>
            </w:r>
            <w:proofErr w:type="gramStart"/>
            <w:r w:rsidRPr="00B43577">
              <w:rPr>
                <w:rFonts w:ascii="Arial Narrow" w:hAnsi="Arial Narrow"/>
                <w:sz w:val="20"/>
                <w:szCs w:val="20"/>
              </w:rPr>
              <w:t>a</w:t>
            </w:r>
            <w:proofErr w:type="gramEnd"/>
            <w:r w:rsidRPr="00B43577">
              <w:rPr>
                <w:rFonts w:ascii="Arial Narrow" w:hAnsi="Arial Narrow"/>
                <w:sz w:val="20"/>
                <w:szCs w:val="20"/>
              </w:rPr>
              <w:t xml:space="preserve"> patient wishes to re-commence treatment with a specific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following a break of less than 24 months in PBS-subsidised therapy with that agent (Initial 2).</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Initial applications for new or re-commencing patients (Initial 1) must include a joint count and ESR and/or CRP measured at the completion of the 6-month intensive DMARD trial, but prior to ceasing DMARD therapy.</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Initial treatment authorisations will be limited to provide a maximum of 16 weeks of therapy for </w:t>
            </w:r>
            <w:proofErr w:type="spellStart"/>
            <w:r w:rsidRPr="00B43577">
              <w:rPr>
                <w:rFonts w:ascii="Arial Narrow" w:hAnsi="Arial Narrow"/>
                <w:sz w:val="20"/>
                <w:szCs w:val="20"/>
              </w:rPr>
              <w:t>abatacept</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adalimumab</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etanercept</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golimumab</w:t>
            </w:r>
            <w:proofErr w:type="spellEnd"/>
            <w:r w:rsidRPr="00B43577">
              <w:rPr>
                <w:rFonts w:ascii="Arial Narrow" w:hAnsi="Arial Narrow"/>
                <w:sz w:val="20"/>
                <w:szCs w:val="20"/>
              </w:rPr>
              <w:t xml:space="preserve"> and </w:t>
            </w:r>
            <w:proofErr w:type="spellStart"/>
            <w:r w:rsidRPr="00B43577">
              <w:rPr>
                <w:rFonts w:ascii="Arial Narrow" w:hAnsi="Arial Narrow"/>
                <w:sz w:val="20"/>
                <w:szCs w:val="20"/>
              </w:rPr>
              <w:t>tocilizumab</w:t>
            </w:r>
            <w:proofErr w:type="spellEnd"/>
            <w:r w:rsidRPr="00B43577">
              <w:rPr>
                <w:rFonts w:ascii="Arial Narrow" w:hAnsi="Arial Narrow"/>
                <w:sz w:val="20"/>
                <w:szCs w:val="20"/>
              </w:rPr>
              <w:t xml:space="preserve">, 18 to 20 weeks of therapy with </w:t>
            </w:r>
            <w:proofErr w:type="spellStart"/>
            <w:r w:rsidRPr="00B43577">
              <w:rPr>
                <w:rFonts w:ascii="Arial Narrow" w:hAnsi="Arial Narrow"/>
                <w:sz w:val="20"/>
                <w:szCs w:val="20"/>
              </w:rPr>
              <w:t>certolizumab</w:t>
            </w:r>
            <w:proofErr w:type="spellEnd"/>
            <w:r w:rsidRPr="00B43577">
              <w:rPr>
                <w:rFonts w:ascii="Arial Narrow" w:hAnsi="Arial Narrow"/>
                <w:sz w:val="20"/>
                <w:szCs w:val="20"/>
              </w:rPr>
              <w:t xml:space="preserve"> </w:t>
            </w:r>
            <w:proofErr w:type="spellStart"/>
            <w:r w:rsidRPr="00B43577">
              <w:rPr>
                <w:rFonts w:ascii="Arial Narrow" w:hAnsi="Arial Narrow"/>
                <w:sz w:val="20"/>
                <w:szCs w:val="20"/>
              </w:rPr>
              <w:t>pegol</w:t>
            </w:r>
            <w:proofErr w:type="spellEnd"/>
            <w:r w:rsidRPr="00B43577">
              <w:rPr>
                <w:rFonts w:ascii="Arial Narrow" w:hAnsi="Arial Narrow"/>
                <w:sz w:val="20"/>
                <w:szCs w:val="20"/>
              </w:rPr>
              <w:t xml:space="preserve"> (depending upon the dosing regimen), 22 weeks of therapy for infliximab and 2 infusions of rituximab.</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A patient must be assessed for response to any course of initial PBS-subsidised treatment (excluding rituximab) following a minimum of 12 weeks of therapy and this assessment must be submitted to the Department of Human Services no later than 4 weeks from the date that course was ceased.</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Rituximab patients must be assessed following a minimum of 12 weeks after the first infusion, and this assessment must be submitted to the Department of Human Services within 4 weeks.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Where a response assessment is not submitted to the Department of Human Services within these timeframes, the patient will be deemed to have failed to respond to treatment with that </w:t>
            </w:r>
            <w:proofErr w:type="spellStart"/>
            <w:r w:rsidRPr="00B43577">
              <w:rPr>
                <w:rFonts w:ascii="Arial Narrow" w:hAnsi="Arial Narrow"/>
                <w:sz w:val="20"/>
                <w:szCs w:val="20"/>
              </w:rPr>
              <w:t>bDMARD</w:t>
            </w:r>
            <w:proofErr w:type="spellEnd"/>
            <w:r w:rsidRPr="00B43577">
              <w:rPr>
                <w:rFonts w:ascii="Arial Narrow" w:hAnsi="Arial Narrow"/>
                <w:sz w:val="20"/>
                <w:szCs w:val="20"/>
              </w:rPr>
              <w:t>.</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For second and subsequent courses of PBS-subsidised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(excluding rituximab) treatment it is recommended that a patient is reviewed in the month prior to completing their current course of treatment and that an application is submitted to the Department of Human Services no later than 2 weeks prior to the patient completing their current treatment course.</w:t>
            </w:r>
          </w:p>
          <w:p w:rsidR="00C27319" w:rsidRPr="00B43577" w:rsidRDefault="00C27319" w:rsidP="00C27319">
            <w:pPr>
              <w:pStyle w:val="NormalWeb"/>
              <w:rPr>
                <w:rFonts w:ascii="Arial Narrow" w:hAnsi="Arial Narrow"/>
                <w:sz w:val="20"/>
                <w:szCs w:val="20"/>
              </w:rPr>
            </w:pPr>
            <w:proofErr w:type="spellStart"/>
            <w:r w:rsidRPr="00B43577">
              <w:rPr>
                <w:rFonts w:ascii="Arial Narrow" w:hAnsi="Arial Narrow"/>
                <w:sz w:val="20"/>
                <w:szCs w:val="20"/>
              </w:rPr>
              <w:t>Abatacept</w:t>
            </w:r>
            <w:proofErr w:type="spellEnd"/>
            <w:r w:rsidRPr="00B43577">
              <w:rPr>
                <w:rFonts w:ascii="Arial Narrow" w:hAnsi="Arial Narrow"/>
                <w:sz w:val="20"/>
                <w:szCs w:val="20"/>
              </w:rPr>
              <w:t xml:space="preserve"> patients: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 for the pre-filled syringes, with a maximum quantity of 4 and up to 3 repeats, must be submitted with the initial application.</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Rituximab patients: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A further application may be submitted to the Department of Human Services 24 weeks after the first infusion. New baselines may be submitted with this application if appropriate.</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(b) Continuing treatment.</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Following the completion of an initial treatment course with a specific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(excluding rituximab), a patient may qualify to receive up to 24 weeks of continuing treatment with that drug providing they have demonstrated an adequate response to treatment. The patient remains eligible to receive continuing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treatment with the same drug in courses of up to 24 weeks providing they continue to sustain the response.</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It is recommended that a patient be reviewed in the month prior to completing their current course of treatment to ensure uninterrupted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supply.</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Assessments of response to a course of PBS-subsidised therapy must be submitted to the Department of Human Services no later than 4 weeks from the date that course was ceased.</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Rituximab patients: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A patient may qualify to receive a further course of treatment (every 24 weeks) with this agent providing they have demonstrated an adequate response to treatment following a minimum of </w:t>
            </w:r>
            <w:r w:rsidRPr="00B43577">
              <w:rPr>
                <w:rFonts w:ascii="Arial Narrow" w:hAnsi="Arial Narrow"/>
                <w:sz w:val="20"/>
                <w:szCs w:val="20"/>
              </w:rPr>
              <w:lastRenderedPageBreak/>
              <w:t>12 weeks after the first infusion of their most recent treatment with rituximab. The patient remains eligible to receive a course of rituximab every 24 weeks providing they continue to demonstrate a response as specified in the restriction.</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Where a response assessment is not submitted to the Department of Human Services within these timeframes, the patient will be deemed to have failed to respond to treatment with that </w:t>
            </w:r>
            <w:proofErr w:type="spellStart"/>
            <w:r w:rsidRPr="00B43577">
              <w:rPr>
                <w:rFonts w:ascii="Arial Narrow" w:hAnsi="Arial Narrow"/>
                <w:sz w:val="20"/>
                <w:szCs w:val="20"/>
              </w:rPr>
              <w:t>bDMARD</w:t>
            </w:r>
            <w:proofErr w:type="spellEnd"/>
            <w:r w:rsidRPr="00B43577">
              <w:rPr>
                <w:rFonts w:ascii="Arial Narrow" w:hAnsi="Arial Narrow"/>
                <w:sz w:val="20"/>
                <w:szCs w:val="20"/>
              </w:rPr>
              <w:t>.</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(2) Swapping therapy.</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Once initial treatment with the first PBS-subsidised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is approved, a patient may swap to an alternate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without having to requalify with respect to the indices of disease severity (i.e. the erythrocyte sedimentation rate (ESR), the C-reactive protein (CRP) levels and the joint count) or the prior non-</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therapy requirements, except if the patient has had a break in therapy of more than 24 months. However the requirement for concomitant treatment with methotrexate, where it applies, must be met for each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trialled.</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Patients who are not able to complete a minimum of 12 weeks of an initial treatment course will be deemed to have failed treatment with that agent.</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A patient may trial an alternate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at any time, regardless of whether they are receiving therapy (initial or continuing) with a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at the time of the application. However, they cannot swap to a particular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if they have failed to respond to prior treatment with that drug.</w:t>
            </w:r>
          </w:p>
          <w:p w:rsidR="00C27319" w:rsidRPr="00B43577" w:rsidRDefault="00C27319" w:rsidP="00C27319">
            <w:pPr>
              <w:pStyle w:val="NormalWeb"/>
              <w:rPr>
                <w:rFonts w:ascii="Arial Narrow" w:hAnsi="Arial Narrow"/>
                <w:sz w:val="20"/>
                <w:szCs w:val="20"/>
              </w:rPr>
            </w:pPr>
            <w:proofErr w:type="spellStart"/>
            <w:r w:rsidRPr="00B43577">
              <w:rPr>
                <w:rFonts w:ascii="Arial Narrow" w:hAnsi="Arial Narrow"/>
                <w:sz w:val="20"/>
                <w:szCs w:val="20"/>
              </w:rPr>
              <w:t>Abatacept</w:t>
            </w:r>
            <w:proofErr w:type="spellEnd"/>
            <w:r w:rsidRPr="00B43577">
              <w:rPr>
                <w:rFonts w:ascii="Arial Narrow" w:hAnsi="Arial Narrow"/>
                <w:sz w:val="20"/>
                <w:szCs w:val="20"/>
              </w:rPr>
              <w:t xml:space="preserve"> patients: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Patients swapping from I.V. </w:t>
            </w:r>
            <w:proofErr w:type="spellStart"/>
            <w:r w:rsidRPr="00B43577">
              <w:rPr>
                <w:rFonts w:ascii="Arial Narrow" w:hAnsi="Arial Narrow"/>
                <w:sz w:val="20"/>
                <w:szCs w:val="20"/>
              </w:rPr>
              <w:t>abatacept</w:t>
            </w:r>
            <w:proofErr w:type="spellEnd"/>
            <w:r w:rsidRPr="00B43577">
              <w:rPr>
                <w:rFonts w:ascii="Arial Narrow" w:hAnsi="Arial Narrow"/>
                <w:sz w:val="20"/>
                <w:szCs w:val="20"/>
              </w:rPr>
              <w:t xml:space="preserve"> to subcutaneous </w:t>
            </w:r>
            <w:proofErr w:type="spellStart"/>
            <w:r w:rsidRPr="00B43577">
              <w:rPr>
                <w:rFonts w:ascii="Arial Narrow" w:hAnsi="Arial Narrow"/>
                <w:sz w:val="20"/>
                <w:szCs w:val="20"/>
              </w:rPr>
              <w:t>abatacept</w:t>
            </w:r>
            <w:proofErr w:type="spellEnd"/>
            <w:r w:rsidRPr="00B43577">
              <w:rPr>
                <w:rFonts w:ascii="Arial Narrow" w:hAnsi="Arial Narrow"/>
                <w:sz w:val="20"/>
                <w:szCs w:val="20"/>
              </w:rPr>
              <w:t xml:space="preserve"> will not be eligible for an I.V. loading dose when commencing treatment with the subcutaneous formulation.</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In order to trial rituximab, a patient must have trialled and failed to demonstrate a response to at least 1 PBS-subsidised TNF-</w:t>
            </w:r>
            <w:proofErr w:type="spellStart"/>
            <w:r w:rsidRPr="00B43577">
              <w:rPr>
                <w:rFonts w:ascii="Arial Narrow" w:hAnsi="Arial Narrow"/>
                <w:sz w:val="20"/>
                <w:szCs w:val="20"/>
              </w:rPr>
              <w:t>alfa</w:t>
            </w:r>
            <w:proofErr w:type="spellEnd"/>
            <w:r w:rsidRPr="00B43577">
              <w:rPr>
                <w:rFonts w:ascii="Arial Narrow" w:hAnsi="Arial Narrow"/>
                <w:sz w:val="20"/>
                <w:szCs w:val="20"/>
              </w:rPr>
              <w:t xml:space="preserve"> antagonist treatment.</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To ensure a patient receives the maximum treatment opportunities allowed under the interchangeability arrangements, it is important that they are assessed for response to every course of treatment approved, within the timeframes specified in the relevant restriction.</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PBS subsidy does not allow for patients to receive treatment with another PBS-subsidised biological agent during the required treatment-free period applying to patients who have demonstrated a response to their most recent course of rituximab. This means that patients who have demonstrated a response to a course of rituximab must have a PBS-subsidised biological therapy treatment-free period of at least 22 weeks, immediately following the second infusion, before swapping to an alternate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Patients who fail to respond to rituximab and who qualify and wish to trial a course of an alternate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may do so without having to have any treatment-free period.</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 xml:space="preserve">To avoid confusion, an application for a patient who wishes to swap to an alternate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should be accompanied by the approved authority prescription or remaining repeats for the </w:t>
            </w:r>
            <w:proofErr w:type="spellStart"/>
            <w:r w:rsidRPr="00B43577">
              <w:rPr>
                <w:rFonts w:ascii="Arial Narrow" w:hAnsi="Arial Narrow"/>
                <w:sz w:val="20"/>
                <w:szCs w:val="20"/>
              </w:rPr>
              <w:t>bDMARD</w:t>
            </w:r>
            <w:proofErr w:type="spellEnd"/>
            <w:r w:rsidRPr="00B43577">
              <w:rPr>
                <w:rFonts w:ascii="Arial Narrow" w:hAnsi="Arial Narrow"/>
                <w:sz w:val="20"/>
                <w:szCs w:val="20"/>
              </w:rPr>
              <w:t xml:space="preserve"> the patient is ceasing.</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(3) Baseline measurements to determine response.</w:t>
            </w:r>
          </w:p>
          <w:p w:rsidR="00C27319" w:rsidRPr="00B43577" w:rsidRDefault="00C27319" w:rsidP="00C27319">
            <w:pPr>
              <w:pStyle w:val="NormalWeb"/>
              <w:rPr>
                <w:rFonts w:ascii="Arial Narrow" w:hAnsi="Arial Narrow"/>
                <w:sz w:val="20"/>
                <w:szCs w:val="20"/>
              </w:rPr>
            </w:pPr>
            <w:proofErr w:type="gramStart"/>
            <w:r w:rsidRPr="00B43577">
              <w:rPr>
                <w:rFonts w:ascii="Arial Narrow" w:hAnsi="Arial Narrow"/>
                <w:sz w:val="20"/>
                <w:szCs w:val="20"/>
              </w:rPr>
              <w:t>the</w:t>
            </w:r>
            <w:proofErr w:type="gramEnd"/>
            <w:r w:rsidRPr="00B43577">
              <w:rPr>
                <w:rFonts w:ascii="Arial Narrow" w:hAnsi="Arial Narrow"/>
                <w:sz w:val="20"/>
                <w:szCs w:val="20"/>
              </w:rPr>
              <w:t xml:space="preserve"> Department of Human Services will determine whether a response to treatment has been demonstrated based on the baseline measurements of the joint count, ESR and/or CRP submitted with the first authority application for a </w:t>
            </w:r>
            <w:proofErr w:type="spellStart"/>
            <w:r w:rsidRPr="00B43577">
              <w:rPr>
                <w:rFonts w:ascii="Arial Narrow" w:hAnsi="Arial Narrow"/>
                <w:sz w:val="20"/>
                <w:szCs w:val="20"/>
              </w:rPr>
              <w:t>bDMARD</w:t>
            </w:r>
            <w:proofErr w:type="spellEnd"/>
            <w:r w:rsidRPr="00B43577">
              <w:rPr>
                <w:rFonts w:ascii="Arial Narrow" w:hAnsi="Arial Narrow"/>
                <w:sz w:val="20"/>
                <w:szCs w:val="20"/>
              </w:rPr>
              <w:t>. However, prescribers may provide new baseline measurements any time that an initial treatment authority application is submitted and the Department of Human Services will assess response according to these revised baseline measurements.</w:t>
            </w:r>
          </w:p>
          <w:p w:rsidR="00C27319" w:rsidRPr="00B43577" w:rsidRDefault="00C27319" w:rsidP="00C27319">
            <w:pPr>
              <w:pStyle w:val="NormalWeb"/>
              <w:rPr>
                <w:rFonts w:ascii="Arial Narrow" w:hAnsi="Arial Narrow"/>
                <w:sz w:val="20"/>
                <w:szCs w:val="20"/>
              </w:rPr>
            </w:pPr>
            <w:r w:rsidRPr="00B43577">
              <w:rPr>
                <w:rFonts w:ascii="Arial Narrow" w:hAnsi="Arial Narrow"/>
                <w:sz w:val="20"/>
                <w:szCs w:val="20"/>
              </w:rPr>
              <w:t>To ensure consistency in determining response, the same indices of disease severity used to establish baseline at the commencement of treatment with each initial treatment application must be provided for all subsequent continuing treatment applications. Therefore, where only an ESR or CRP level is provided at baseline, an ESR or CRP level respectively must be provided to determine response. Similarly, 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w:t>
            </w:r>
          </w:p>
          <w:p w:rsidR="00C27319" w:rsidRPr="00F47128" w:rsidRDefault="00C27319" w:rsidP="00F47128">
            <w:pPr>
              <w:pStyle w:val="NormalWeb"/>
              <w:rPr>
                <w:rFonts w:ascii="Arial Narrow" w:hAnsi="Arial Narrow"/>
                <w:sz w:val="20"/>
                <w:szCs w:val="20"/>
              </w:rPr>
            </w:pPr>
            <w:r w:rsidRPr="00B43577">
              <w:rPr>
                <w:rFonts w:ascii="Arial Narrow" w:hAnsi="Arial Narrow"/>
                <w:sz w:val="20"/>
                <w:szCs w:val="20"/>
              </w:rPr>
              <w:t xml:space="preserve">Except as specified under the Initial 1 treatment restriction, a baseline joint count and ESR and/or CRP should be performed whilst the patient is still on treatment or within 1 month of </w:t>
            </w:r>
            <w:r w:rsidRPr="00B43577">
              <w:rPr>
                <w:rFonts w:ascii="Arial Narrow" w:hAnsi="Arial Narrow"/>
                <w:sz w:val="20"/>
                <w:szCs w:val="20"/>
              </w:rPr>
              <w:lastRenderedPageBreak/>
              <w:t>ceasing prior treatment. Applications under the Initial 1 treatment restriction for new or re-commencing patients must include a joint count and ESR and/or CRP measured at the completion of the 6 month intensive DMARD trial, but prior to ceasing DMARD therapy.</w:t>
            </w:r>
          </w:p>
        </w:tc>
      </w:tr>
      <w:tr w:rsidR="00B43577" w:rsidRPr="00B43577"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B43577" w:rsidRDefault="00013E05" w:rsidP="00D203AD">
            <w:pPr>
              <w:jc w:val="both"/>
              <w:rPr>
                <w:rFonts w:ascii="Arial Narrow" w:hAnsi="Arial Narrow" w:cs="Arial"/>
                <w:b/>
                <w:sz w:val="20"/>
                <w:szCs w:val="20"/>
              </w:rPr>
            </w:pPr>
            <w:r w:rsidRPr="00B43577">
              <w:rPr>
                <w:rFonts w:ascii="Arial Narrow" w:hAnsi="Arial Narrow" w:cs="Arial"/>
                <w:b/>
                <w:sz w:val="20"/>
                <w:szCs w:val="20"/>
              </w:rPr>
              <w:lastRenderedPageBreak/>
              <w:t>Cautions</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B43577" w:rsidRDefault="00C27319" w:rsidP="00D203AD">
            <w:pPr>
              <w:rPr>
                <w:rFonts w:ascii="Arial Narrow" w:hAnsi="Arial Narrow" w:cs="Arial"/>
                <w:sz w:val="20"/>
                <w:szCs w:val="20"/>
              </w:rPr>
            </w:pPr>
            <w:r w:rsidRPr="00B43577">
              <w:rPr>
                <w:rFonts w:ascii="Arial Narrow" w:hAnsi="Arial Narrow" w:cs="Arial"/>
                <w:sz w:val="20"/>
                <w:szCs w:val="20"/>
              </w:rPr>
              <w:t>N/A</w:t>
            </w:r>
          </w:p>
        </w:tc>
      </w:tr>
    </w:tbl>
    <w:p w:rsidR="007F4E20" w:rsidRPr="00B43577" w:rsidRDefault="007F4E20">
      <w:pPr>
        <w:rPr>
          <w:rFonts w:ascii="Arial Narrow" w:hAnsi="Arial Narrow"/>
          <w:sz w:val="20"/>
          <w:szCs w:val="20"/>
        </w:rPr>
      </w:pPr>
    </w:p>
    <w:sectPr w:rsidR="007F4E20" w:rsidRPr="00B43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93"/>
    <w:multiLevelType w:val="hybridMultilevel"/>
    <w:tmpl w:val="28FE1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C36FE1"/>
    <w:multiLevelType w:val="multilevel"/>
    <w:tmpl w:val="CEE0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22BA"/>
    <w:multiLevelType w:val="multilevel"/>
    <w:tmpl w:val="DBF0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C752E"/>
    <w:multiLevelType w:val="multilevel"/>
    <w:tmpl w:val="516E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072CC"/>
    <w:multiLevelType w:val="hybridMultilevel"/>
    <w:tmpl w:val="1AD0EF56"/>
    <w:lvl w:ilvl="0" w:tplc="359A9D6A">
      <w:start w:val="1"/>
      <w:numFmt w:val="decimal"/>
      <w:lvlText w:val="%1."/>
      <w:lvlJc w:val="left"/>
      <w:pPr>
        <w:ind w:left="702" w:hanging="360"/>
      </w:pPr>
      <w:rPr>
        <w:b w:val="0"/>
      </w:rPr>
    </w:lvl>
    <w:lvl w:ilvl="1" w:tplc="0C090019">
      <w:start w:val="1"/>
      <w:numFmt w:val="lowerLetter"/>
      <w:lvlText w:val="%2."/>
      <w:lvlJc w:val="left"/>
      <w:pPr>
        <w:ind w:left="1422" w:hanging="360"/>
      </w:pPr>
    </w:lvl>
    <w:lvl w:ilvl="2" w:tplc="0C09001B">
      <w:start w:val="1"/>
      <w:numFmt w:val="lowerRoman"/>
      <w:lvlText w:val="%3."/>
      <w:lvlJc w:val="right"/>
      <w:pPr>
        <w:ind w:left="2142" w:hanging="180"/>
      </w:pPr>
    </w:lvl>
    <w:lvl w:ilvl="3" w:tplc="0C09000F" w:tentative="1">
      <w:start w:val="1"/>
      <w:numFmt w:val="decimal"/>
      <w:lvlText w:val="%4."/>
      <w:lvlJc w:val="left"/>
      <w:pPr>
        <w:ind w:left="2862" w:hanging="360"/>
      </w:pPr>
    </w:lvl>
    <w:lvl w:ilvl="4" w:tplc="0C090019" w:tentative="1">
      <w:start w:val="1"/>
      <w:numFmt w:val="lowerLetter"/>
      <w:lvlText w:val="%5."/>
      <w:lvlJc w:val="left"/>
      <w:pPr>
        <w:ind w:left="3582" w:hanging="360"/>
      </w:pPr>
    </w:lvl>
    <w:lvl w:ilvl="5" w:tplc="0C09001B" w:tentative="1">
      <w:start w:val="1"/>
      <w:numFmt w:val="lowerRoman"/>
      <w:lvlText w:val="%6."/>
      <w:lvlJc w:val="right"/>
      <w:pPr>
        <w:ind w:left="4302" w:hanging="180"/>
      </w:pPr>
    </w:lvl>
    <w:lvl w:ilvl="6" w:tplc="0C09000F" w:tentative="1">
      <w:start w:val="1"/>
      <w:numFmt w:val="decimal"/>
      <w:lvlText w:val="%7."/>
      <w:lvlJc w:val="left"/>
      <w:pPr>
        <w:ind w:left="5022" w:hanging="360"/>
      </w:pPr>
    </w:lvl>
    <w:lvl w:ilvl="7" w:tplc="0C090019" w:tentative="1">
      <w:start w:val="1"/>
      <w:numFmt w:val="lowerLetter"/>
      <w:lvlText w:val="%8."/>
      <w:lvlJc w:val="left"/>
      <w:pPr>
        <w:ind w:left="5742" w:hanging="360"/>
      </w:pPr>
    </w:lvl>
    <w:lvl w:ilvl="8" w:tplc="0C09001B" w:tentative="1">
      <w:start w:val="1"/>
      <w:numFmt w:val="lowerRoman"/>
      <w:lvlText w:val="%9."/>
      <w:lvlJc w:val="right"/>
      <w:pPr>
        <w:ind w:left="6462" w:hanging="180"/>
      </w:pPr>
    </w:lvl>
  </w:abstractNum>
  <w:abstractNum w:abstractNumId="5">
    <w:nsid w:val="2B273D0A"/>
    <w:multiLevelType w:val="multilevel"/>
    <w:tmpl w:val="EF2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C2E19"/>
    <w:multiLevelType w:val="multilevel"/>
    <w:tmpl w:val="8672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973F7"/>
    <w:multiLevelType w:val="multilevel"/>
    <w:tmpl w:val="167A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223CE"/>
    <w:multiLevelType w:val="multilevel"/>
    <w:tmpl w:val="B9E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E54D9"/>
    <w:multiLevelType w:val="hybridMultilevel"/>
    <w:tmpl w:val="66809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FC04E6"/>
    <w:multiLevelType w:val="hybridMultilevel"/>
    <w:tmpl w:val="CBC499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3997FF8"/>
    <w:multiLevelType w:val="hybridMultilevel"/>
    <w:tmpl w:val="0538916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nsid w:val="4B2E6DBB"/>
    <w:multiLevelType w:val="hybridMultilevel"/>
    <w:tmpl w:val="66E61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B51D6C"/>
    <w:multiLevelType w:val="multilevel"/>
    <w:tmpl w:val="E048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8599F"/>
    <w:multiLevelType w:val="hybridMultilevel"/>
    <w:tmpl w:val="D9DC6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4"/>
  </w:num>
  <w:num w:numId="4">
    <w:abstractNumId w:val="12"/>
  </w:num>
  <w:num w:numId="5">
    <w:abstractNumId w:val="4"/>
  </w:num>
  <w:num w:numId="6">
    <w:abstractNumId w:val="1"/>
  </w:num>
  <w:num w:numId="7">
    <w:abstractNumId w:val="6"/>
  </w:num>
  <w:num w:numId="8">
    <w:abstractNumId w:val="7"/>
  </w:num>
  <w:num w:numId="9">
    <w:abstractNumId w:val="3"/>
  </w:num>
  <w:num w:numId="10">
    <w:abstractNumId w:val="8"/>
  </w:num>
  <w:num w:numId="11">
    <w:abstractNumId w:val="13"/>
  </w:num>
  <w:num w:numId="12">
    <w:abstractNumId w:val="5"/>
  </w:num>
  <w:num w:numId="13">
    <w:abstractNumId w:val="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5"/>
    <w:rsid w:val="00013E05"/>
    <w:rsid w:val="000435F3"/>
    <w:rsid w:val="007F4E20"/>
    <w:rsid w:val="00867554"/>
    <w:rsid w:val="00B20524"/>
    <w:rsid w:val="00B43577"/>
    <w:rsid w:val="00B446FE"/>
    <w:rsid w:val="00C27319"/>
    <w:rsid w:val="00F47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05"/>
    <w:rPr>
      <w:rFonts w:asciiTheme="minorHAnsi" w:eastAsiaTheme="minorEastAsia" w:hAnsiTheme="minorHAnsi"/>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05"/>
    <w:pPr>
      <w:ind w:left="720"/>
      <w:contextualSpacing/>
    </w:pPr>
  </w:style>
  <w:style w:type="character" w:styleId="Hyperlink">
    <w:name w:val="Hyperlink"/>
    <w:basedOn w:val="DefaultParagraphFont"/>
    <w:uiPriority w:val="99"/>
    <w:unhideWhenUsed/>
    <w:rsid w:val="00013E05"/>
    <w:rPr>
      <w:color w:val="0000FF" w:themeColor="hyperlink"/>
      <w:u w:val="single"/>
    </w:rPr>
  </w:style>
  <w:style w:type="character" w:styleId="CommentReference">
    <w:name w:val="annotation reference"/>
    <w:basedOn w:val="DefaultParagraphFont"/>
    <w:uiPriority w:val="99"/>
    <w:semiHidden/>
    <w:unhideWhenUsed/>
    <w:rsid w:val="00013E05"/>
    <w:rPr>
      <w:sz w:val="16"/>
      <w:szCs w:val="16"/>
    </w:rPr>
  </w:style>
  <w:style w:type="paragraph" w:styleId="CommentText">
    <w:name w:val="annotation text"/>
    <w:basedOn w:val="Normal"/>
    <w:link w:val="CommentTextChar"/>
    <w:uiPriority w:val="99"/>
    <w:semiHidden/>
    <w:unhideWhenUsed/>
    <w:rsid w:val="00013E05"/>
    <w:pPr>
      <w:spacing w:line="240" w:lineRule="auto"/>
    </w:pPr>
    <w:rPr>
      <w:sz w:val="20"/>
      <w:szCs w:val="20"/>
    </w:rPr>
  </w:style>
  <w:style w:type="character" w:customStyle="1" w:styleId="CommentTextChar">
    <w:name w:val="Comment Text Char"/>
    <w:basedOn w:val="DefaultParagraphFont"/>
    <w:link w:val="CommentText"/>
    <w:uiPriority w:val="99"/>
    <w:semiHidden/>
    <w:rsid w:val="00013E05"/>
    <w:rPr>
      <w:rFonts w:asciiTheme="minorHAnsi" w:eastAsiaTheme="minorEastAsia" w:hAnsiTheme="minorHAnsi"/>
      <w:sz w:val="20"/>
      <w:szCs w:val="20"/>
      <w:lang w:eastAsia="en-AU"/>
    </w:rPr>
  </w:style>
  <w:style w:type="paragraph" w:styleId="BalloonText">
    <w:name w:val="Balloon Text"/>
    <w:basedOn w:val="Normal"/>
    <w:link w:val="BalloonTextChar"/>
    <w:uiPriority w:val="99"/>
    <w:semiHidden/>
    <w:unhideWhenUsed/>
    <w:rsid w:val="0001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05"/>
    <w:rPr>
      <w:rFonts w:ascii="Tahoma" w:eastAsiaTheme="minorEastAsia" w:hAnsi="Tahoma" w:cs="Tahoma"/>
      <w:sz w:val="16"/>
      <w:szCs w:val="16"/>
      <w:lang w:eastAsia="en-AU"/>
    </w:rPr>
  </w:style>
  <w:style w:type="paragraph" w:styleId="NormalWeb">
    <w:name w:val="Normal (Web)"/>
    <w:basedOn w:val="Normal"/>
    <w:uiPriority w:val="99"/>
    <w:unhideWhenUsed/>
    <w:rsid w:val="000435F3"/>
    <w:pPr>
      <w:spacing w:before="75" w:after="75" w:line="240" w:lineRule="auto"/>
      <w:ind w:left="75" w:right="75"/>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05"/>
    <w:rPr>
      <w:rFonts w:asciiTheme="minorHAnsi" w:eastAsiaTheme="minorEastAsia" w:hAnsiTheme="minorHAnsi"/>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05"/>
    <w:pPr>
      <w:ind w:left="720"/>
      <w:contextualSpacing/>
    </w:pPr>
  </w:style>
  <w:style w:type="character" w:styleId="Hyperlink">
    <w:name w:val="Hyperlink"/>
    <w:basedOn w:val="DefaultParagraphFont"/>
    <w:uiPriority w:val="99"/>
    <w:unhideWhenUsed/>
    <w:rsid w:val="00013E05"/>
    <w:rPr>
      <w:color w:val="0000FF" w:themeColor="hyperlink"/>
      <w:u w:val="single"/>
    </w:rPr>
  </w:style>
  <w:style w:type="character" w:styleId="CommentReference">
    <w:name w:val="annotation reference"/>
    <w:basedOn w:val="DefaultParagraphFont"/>
    <w:uiPriority w:val="99"/>
    <w:semiHidden/>
    <w:unhideWhenUsed/>
    <w:rsid w:val="00013E05"/>
    <w:rPr>
      <w:sz w:val="16"/>
      <w:szCs w:val="16"/>
    </w:rPr>
  </w:style>
  <w:style w:type="paragraph" w:styleId="CommentText">
    <w:name w:val="annotation text"/>
    <w:basedOn w:val="Normal"/>
    <w:link w:val="CommentTextChar"/>
    <w:uiPriority w:val="99"/>
    <w:semiHidden/>
    <w:unhideWhenUsed/>
    <w:rsid w:val="00013E05"/>
    <w:pPr>
      <w:spacing w:line="240" w:lineRule="auto"/>
    </w:pPr>
    <w:rPr>
      <w:sz w:val="20"/>
      <w:szCs w:val="20"/>
    </w:rPr>
  </w:style>
  <w:style w:type="character" w:customStyle="1" w:styleId="CommentTextChar">
    <w:name w:val="Comment Text Char"/>
    <w:basedOn w:val="DefaultParagraphFont"/>
    <w:link w:val="CommentText"/>
    <w:uiPriority w:val="99"/>
    <w:semiHidden/>
    <w:rsid w:val="00013E05"/>
    <w:rPr>
      <w:rFonts w:asciiTheme="minorHAnsi" w:eastAsiaTheme="minorEastAsia" w:hAnsiTheme="minorHAnsi"/>
      <w:sz w:val="20"/>
      <w:szCs w:val="20"/>
      <w:lang w:eastAsia="en-AU"/>
    </w:rPr>
  </w:style>
  <w:style w:type="paragraph" w:styleId="BalloonText">
    <w:name w:val="Balloon Text"/>
    <w:basedOn w:val="Normal"/>
    <w:link w:val="BalloonTextChar"/>
    <w:uiPriority w:val="99"/>
    <w:semiHidden/>
    <w:unhideWhenUsed/>
    <w:rsid w:val="0001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05"/>
    <w:rPr>
      <w:rFonts w:ascii="Tahoma" w:eastAsiaTheme="minorEastAsia" w:hAnsi="Tahoma" w:cs="Tahoma"/>
      <w:sz w:val="16"/>
      <w:szCs w:val="16"/>
      <w:lang w:eastAsia="en-AU"/>
    </w:rPr>
  </w:style>
  <w:style w:type="paragraph" w:styleId="NormalWeb">
    <w:name w:val="Normal (Web)"/>
    <w:basedOn w:val="Normal"/>
    <w:uiPriority w:val="99"/>
    <w:unhideWhenUsed/>
    <w:rsid w:val="000435F3"/>
    <w:pPr>
      <w:spacing w:before="75" w:after="75" w:line="240" w:lineRule="auto"/>
      <w:ind w:left="75" w:right="7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6497">
      <w:bodyDiv w:val="1"/>
      <w:marLeft w:val="0"/>
      <w:marRight w:val="0"/>
      <w:marTop w:val="0"/>
      <w:marBottom w:val="0"/>
      <w:divBdr>
        <w:top w:val="none" w:sz="0" w:space="0" w:color="auto"/>
        <w:left w:val="none" w:sz="0" w:space="0" w:color="auto"/>
        <w:bottom w:val="none" w:sz="0" w:space="0" w:color="auto"/>
        <w:right w:val="none" w:sz="0" w:space="0" w:color="auto"/>
      </w:divBdr>
      <w:divsChild>
        <w:div w:id="207766315">
          <w:marLeft w:val="0"/>
          <w:marRight w:val="0"/>
          <w:marTop w:val="0"/>
          <w:marBottom w:val="0"/>
          <w:divBdr>
            <w:top w:val="none" w:sz="0" w:space="0" w:color="auto"/>
            <w:left w:val="none" w:sz="0" w:space="0" w:color="auto"/>
            <w:bottom w:val="none" w:sz="0" w:space="0" w:color="auto"/>
            <w:right w:val="none" w:sz="0" w:space="0" w:color="auto"/>
          </w:divBdr>
        </w:div>
      </w:divsChild>
    </w:div>
    <w:div w:id="480849041">
      <w:bodyDiv w:val="1"/>
      <w:marLeft w:val="0"/>
      <w:marRight w:val="0"/>
      <w:marTop w:val="0"/>
      <w:marBottom w:val="0"/>
      <w:divBdr>
        <w:top w:val="none" w:sz="0" w:space="0" w:color="auto"/>
        <w:left w:val="none" w:sz="0" w:space="0" w:color="auto"/>
        <w:bottom w:val="none" w:sz="0" w:space="0" w:color="auto"/>
        <w:right w:val="none" w:sz="0" w:space="0" w:color="auto"/>
      </w:divBdr>
      <w:divsChild>
        <w:div w:id="359399718">
          <w:marLeft w:val="0"/>
          <w:marRight w:val="0"/>
          <w:marTop w:val="0"/>
          <w:marBottom w:val="0"/>
          <w:divBdr>
            <w:top w:val="none" w:sz="0" w:space="0" w:color="auto"/>
            <w:left w:val="none" w:sz="0" w:space="0" w:color="auto"/>
            <w:bottom w:val="none" w:sz="0" w:space="0" w:color="auto"/>
            <w:right w:val="none" w:sz="0" w:space="0" w:color="auto"/>
          </w:divBdr>
        </w:div>
      </w:divsChild>
    </w:div>
    <w:div w:id="1267075109">
      <w:bodyDiv w:val="1"/>
      <w:marLeft w:val="0"/>
      <w:marRight w:val="0"/>
      <w:marTop w:val="0"/>
      <w:marBottom w:val="0"/>
      <w:divBdr>
        <w:top w:val="none" w:sz="0" w:space="0" w:color="auto"/>
        <w:left w:val="none" w:sz="0" w:space="0" w:color="auto"/>
        <w:bottom w:val="none" w:sz="0" w:space="0" w:color="auto"/>
        <w:right w:val="none" w:sz="0" w:space="0" w:color="auto"/>
      </w:divBdr>
      <w:divsChild>
        <w:div w:id="26484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2015-06-16T01:55:00Z</dcterms:created>
  <dcterms:modified xsi:type="dcterms:W3CDTF">2015-06-29T01:01:00Z</dcterms:modified>
</cp:coreProperties>
</file>