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05" w:rsidRPr="00FE4BEB" w:rsidRDefault="00CE4691" w:rsidP="00867554">
      <w:pPr>
        <w:spacing w:after="0"/>
        <w:jc w:val="center"/>
        <w:rPr>
          <w:b/>
          <w:szCs w:val="24"/>
        </w:rPr>
      </w:pPr>
      <w:r w:rsidRPr="00FE4BEB">
        <w:rPr>
          <w:b/>
          <w:szCs w:val="24"/>
        </w:rPr>
        <w:t>BOCEPREVIR</w:t>
      </w:r>
    </w:p>
    <w:p w:rsidR="00013E05" w:rsidRPr="00782A40" w:rsidRDefault="00013E05" w:rsidP="00013E05"/>
    <w:tbl>
      <w:tblPr>
        <w:tblW w:w="9214" w:type="dxa"/>
        <w:tblInd w:w="108" w:type="dxa"/>
        <w:tblLayout w:type="fixed"/>
        <w:tblLook w:val="0000" w:firstRow="0" w:lastRow="0" w:firstColumn="0" w:lastColumn="0" w:noHBand="0" w:noVBand="0"/>
      </w:tblPr>
      <w:tblGrid>
        <w:gridCol w:w="1843"/>
        <w:gridCol w:w="1418"/>
        <w:gridCol w:w="850"/>
        <w:gridCol w:w="567"/>
        <w:gridCol w:w="1701"/>
        <w:gridCol w:w="1418"/>
        <w:gridCol w:w="1417"/>
      </w:tblGrid>
      <w:tr w:rsidR="00013E05" w:rsidRPr="00260CE3" w:rsidTr="00D203AD">
        <w:trPr>
          <w:trHeight w:val="471"/>
        </w:trPr>
        <w:tc>
          <w:tcPr>
            <w:tcW w:w="3261" w:type="dxa"/>
            <w:gridSpan w:val="2"/>
            <w:tcBorders>
              <w:bottom w:val="single" w:sz="4" w:space="0" w:color="auto"/>
            </w:tcBorders>
          </w:tcPr>
          <w:p w:rsidR="00013E05" w:rsidRDefault="00013E05" w:rsidP="00D203AD">
            <w:pPr>
              <w:keepNext/>
              <w:jc w:val="both"/>
              <w:rPr>
                <w:rFonts w:ascii="Arial Narrow" w:hAnsi="Arial Narrow" w:cs="Arial"/>
                <w:sz w:val="20"/>
                <w:szCs w:val="20"/>
              </w:rPr>
            </w:pPr>
            <w:r w:rsidRPr="00260CE3">
              <w:rPr>
                <w:rFonts w:ascii="Arial Narrow" w:hAnsi="Arial Narrow" w:cs="Arial"/>
                <w:sz w:val="20"/>
                <w:szCs w:val="20"/>
              </w:rPr>
              <w:t>Manner of administration and form</w:t>
            </w:r>
          </w:p>
          <w:p w:rsidR="00A01764" w:rsidRPr="00260CE3" w:rsidRDefault="00A01764" w:rsidP="00D203AD">
            <w:pPr>
              <w:keepNext/>
              <w:jc w:val="both"/>
              <w:rPr>
                <w:rFonts w:ascii="Arial Narrow" w:hAnsi="Arial Narrow" w:cs="Arial"/>
                <w:sz w:val="20"/>
                <w:szCs w:val="20"/>
              </w:rPr>
            </w:pPr>
            <w:r>
              <w:rPr>
                <w:rFonts w:ascii="Arial Narrow" w:hAnsi="Arial Narrow" w:cs="Arial"/>
                <w:sz w:val="20"/>
                <w:szCs w:val="20"/>
              </w:rPr>
              <w:t xml:space="preserve">Oral, </w:t>
            </w:r>
            <w:r w:rsidRPr="00CE4691">
              <w:rPr>
                <w:rFonts w:ascii="Arial Narrow" w:hAnsi="Arial Narrow" w:cs="Arial"/>
                <w:sz w:val="20"/>
                <w:szCs w:val="20"/>
              </w:rPr>
              <w:t>200 mg capsule</w:t>
            </w:r>
          </w:p>
        </w:tc>
        <w:tc>
          <w:tcPr>
            <w:tcW w:w="850" w:type="dxa"/>
            <w:tcBorders>
              <w:bottom w:val="single" w:sz="4" w:space="0" w:color="auto"/>
            </w:tcBorders>
          </w:tcPr>
          <w:p w:rsidR="00013E05" w:rsidRPr="00260CE3" w:rsidRDefault="00013E05" w:rsidP="00D203AD">
            <w:pPr>
              <w:keepNext/>
              <w:ind w:left="-108"/>
              <w:rPr>
                <w:rFonts w:ascii="Arial Narrow" w:hAnsi="Arial Narrow" w:cs="Arial"/>
                <w:sz w:val="20"/>
                <w:szCs w:val="20"/>
              </w:rPr>
            </w:pPr>
            <w:r w:rsidRPr="00260CE3">
              <w:rPr>
                <w:rFonts w:ascii="Arial Narrow" w:hAnsi="Arial Narrow" w:cs="Arial"/>
                <w:sz w:val="20"/>
                <w:szCs w:val="20"/>
              </w:rPr>
              <w:t>Max.</w:t>
            </w:r>
          </w:p>
          <w:p w:rsidR="00013E05" w:rsidRPr="00260CE3" w:rsidRDefault="00013E05" w:rsidP="00D203AD">
            <w:pPr>
              <w:keepNext/>
              <w:ind w:left="-108"/>
              <w:rPr>
                <w:rFonts w:ascii="Arial Narrow" w:hAnsi="Arial Narrow" w:cs="Arial"/>
                <w:sz w:val="20"/>
                <w:szCs w:val="20"/>
              </w:rPr>
            </w:pPr>
            <w:proofErr w:type="spellStart"/>
            <w:r w:rsidRPr="00260CE3">
              <w:rPr>
                <w:rFonts w:ascii="Arial Narrow" w:hAnsi="Arial Narrow" w:cs="Arial"/>
                <w:sz w:val="20"/>
                <w:szCs w:val="20"/>
              </w:rPr>
              <w:t>Qty</w:t>
            </w:r>
            <w:proofErr w:type="spellEnd"/>
          </w:p>
        </w:tc>
        <w:tc>
          <w:tcPr>
            <w:tcW w:w="567" w:type="dxa"/>
            <w:tcBorders>
              <w:bottom w:val="single" w:sz="4" w:space="0" w:color="auto"/>
            </w:tcBorders>
          </w:tcPr>
          <w:p w:rsidR="00013E05" w:rsidRPr="00260CE3" w:rsidRDefault="00013E05" w:rsidP="00D203AD">
            <w:pPr>
              <w:keepNext/>
              <w:ind w:left="-108"/>
              <w:rPr>
                <w:rFonts w:ascii="Arial Narrow" w:hAnsi="Arial Narrow" w:cs="Arial"/>
                <w:sz w:val="20"/>
                <w:szCs w:val="20"/>
              </w:rPr>
            </w:pPr>
            <w:r w:rsidRPr="00260CE3">
              <w:rPr>
                <w:rFonts w:ascii="Arial Narrow" w:hAnsi="Arial Narrow" w:cs="Arial"/>
                <w:sz w:val="20"/>
                <w:szCs w:val="20"/>
              </w:rPr>
              <w:t>№.of</w:t>
            </w:r>
          </w:p>
          <w:p w:rsidR="00013E05" w:rsidRPr="00260CE3" w:rsidRDefault="00013E05" w:rsidP="00D203AD">
            <w:pPr>
              <w:keepNext/>
              <w:ind w:left="-108"/>
              <w:rPr>
                <w:rFonts w:ascii="Arial Narrow" w:hAnsi="Arial Narrow" w:cs="Arial"/>
                <w:sz w:val="20"/>
                <w:szCs w:val="20"/>
              </w:rPr>
            </w:pPr>
            <w:proofErr w:type="spellStart"/>
            <w:r w:rsidRPr="00260CE3">
              <w:rPr>
                <w:rFonts w:ascii="Arial Narrow" w:hAnsi="Arial Narrow" w:cs="Arial"/>
                <w:sz w:val="20"/>
                <w:szCs w:val="20"/>
              </w:rPr>
              <w:t>Rpts</w:t>
            </w:r>
            <w:proofErr w:type="spellEnd"/>
          </w:p>
        </w:tc>
        <w:tc>
          <w:tcPr>
            <w:tcW w:w="1701" w:type="dxa"/>
            <w:tcBorders>
              <w:bottom w:val="single" w:sz="4" w:space="0" w:color="auto"/>
            </w:tcBorders>
          </w:tcPr>
          <w:p w:rsidR="00013E05" w:rsidRPr="00260CE3" w:rsidRDefault="00013E05" w:rsidP="00D203AD">
            <w:pPr>
              <w:keepNext/>
              <w:ind w:left="-108"/>
              <w:rPr>
                <w:rFonts w:ascii="Arial Narrow" w:hAnsi="Arial Narrow" w:cs="Arial"/>
                <w:sz w:val="20"/>
                <w:szCs w:val="20"/>
              </w:rPr>
            </w:pPr>
            <w:r w:rsidRPr="00260CE3">
              <w:rPr>
                <w:rFonts w:ascii="Arial Narrow" w:hAnsi="Arial Narrow" w:cs="Arial"/>
                <w:sz w:val="20"/>
                <w:szCs w:val="20"/>
              </w:rPr>
              <w:t xml:space="preserve">Dispensed Price for Max. </w:t>
            </w:r>
            <w:proofErr w:type="spellStart"/>
            <w:r w:rsidRPr="00260CE3">
              <w:rPr>
                <w:rFonts w:ascii="Arial Narrow" w:hAnsi="Arial Narrow" w:cs="Arial"/>
                <w:sz w:val="20"/>
                <w:szCs w:val="20"/>
              </w:rPr>
              <w:t>Qty</w:t>
            </w:r>
            <w:proofErr w:type="spellEnd"/>
          </w:p>
        </w:tc>
        <w:tc>
          <w:tcPr>
            <w:tcW w:w="2835" w:type="dxa"/>
            <w:gridSpan w:val="2"/>
            <w:tcBorders>
              <w:bottom w:val="single" w:sz="4" w:space="0" w:color="auto"/>
            </w:tcBorders>
          </w:tcPr>
          <w:p w:rsidR="00013E05" w:rsidRPr="00260CE3" w:rsidRDefault="00013E05" w:rsidP="00D203AD">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013E05" w:rsidRPr="00260CE3" w:rsidTr="00D203AD">
        <w:trPr>
          <w:trHeight w:val="577"/>
        </w:trPr>
        <w:tc>
          <w:tcPr>
            <w:tcW w:w="3261" w:type="dxa"/>
            <w:gridSpan w:val="2"/>
          </w:tcPr>
          <w:p w:rsidR="00013E05" w:rsidRDefault="00013E05" w:rsidP="00D203AD">
            <w:pPr>
              <w:keepNext/>
              <w:spacing w:after="0"/>
              <w:ind w:left="-108"/>
              <w:jc w:val="both"/>
              <w:rPr>
                <w:rFonts w:ascii="Arial Narrow" w:hAnsi="Arial Narrow" w:cs="Arial"/>
                <w:smallCaps/>
                <w:sz w:val="20"/>
                <w:szCs w:val="20"/>
              </w:rPr>
            </w:pPr>
            <w:r w:rsidRPr="00260CE3">
              <w:rPr>
                <w:rFonts w:ascii="Arial Narrow" w:hAnsi="Arial Narrow" w:cs="Arial"/>
                <w:smallCaps/>
                <w:sz w:val="20"/>
                <w:szCs w:val="20"/>
              </w:rPr>
              <w:t>DRUG NAME (IN CAPITALS)</w:t>
            </w:r>
          </w:p>
          <w:p w:rsidR="00CE4691" w:rsidRDefault="00183501" w:rsidP="00D203AD">
            <w:pPr>
              <w:keepNext/>
              <w:spacing w:after="0"/>
              <w:ind w:left="-108"/>
              <w:jc w:val="both"/>
              <w:rPr>
                <w:rFonts w:ascii="Arial Narrow" w:hAnsi="Arial Narrow" w:cs="Arial"/>
                <w:b/>
                <w:sz w:val="20"/>
                <w:szCs w:val="20"/>
              </w:rPr>
            </w:pPr>
            <w:r>
              <w:rPr>
                <w:rFonts w:ascii="Arial Narrow" w:hAnsi="Arial Narrow" w:cs="Arial"/>
                <w:b/>
                <w:sz w:val="20"/>
                <w:szCs w:val="20"/>
              </w:rPr>
              <w:t>BOCEPREVIR</w:t>
            </w:r>
          </w:p>
          <w:p w:rsidR="00CE4691" w:rsidRPr="00CE4691" w:rsidRDefault="00CE4691" w:rsidP="00D203AD">
            <w:pPr>
              <w:keepNext/>
              <w:spacing w:after="0"/>
              <w:ind w:left="-108"/>
              <w:jc w:val="both"/>
              <w:rPr>
                <w:rFonts w:ascii="Arial Narrow" w:hAnsi="Arial Narrow" w:cs="Arial"/>
                <w:b/>
                <w:sz w:val="20"/>
                <w:szCs w:val="20"/>
              </w:rPr>
            </w:pPr>
          </w:p>
          <w:p w:rsidR="00013E05" w:rsidRDefault="00013E05" w:rsidP="00D203AD">
            <w:pPr>
              <w:keepNext/>
              <w:spacing w:after="0"/>
              <w:ind w:left="-108"/>
              <w:jc w:val="both"/>
              <w:rPr>
                <w:rFonts w:ascii="Arial Narrow" w:hAnsi="Arial Narrow" w:cs="Arial"/>
                <w:sz w:val="20"/>
                <w:szCs w:val="20"/>
              </w:rPr>
            </w:pPr>
            <w:r w:rsidRPr="00260CE3">
              <w:rPr>
                <w:rFonts w:ascii="Arial Narrow" w:hAnsi="Arial Narrow" w:cs="Arial"/>
                <w:sz w:val="20"/>
                <w:szCs w:val="20"/>
              </w:rPr>
              <w:t>{Forms(s)} {strength(s)}</w:t>
            </w:r>
          </w:p>
          <w:p w:rsidR="00013E05" w:rsidRPr="00260CE3" w:rsidRDefault="00CE4691" w:rsidP="00D203AD">
            <w:pPr>
              <w:keepNext/>
              <w:ind w:left="-108"/>
              <w:jc w:val="both"/>
              <w:rPr>
                <w:rFonts w:ascii="Arial Narrow" w:hAnsi="Arial Narrow" w:cs="Arial"/>
                <w:sz w:val="20"/>
                <w:szCs w:val="20"/>
              </w:rPr>
            </w:pPr>
            <w:r w:rsidRPr="00CE4691">
              <w:rPr>
                <w:rFonts w:ascii="Arial Narrow" w:hAnsi="Arial Narrow" w:cs="Arial"/>
                <w:sz w:val="20"/>
                <w:szCs w:val="20"/>
              </w:rPr>
              <w:t>200 mg capsule, 336 capsules</w:t>
            </w:r>
            <w:r>
              <w:rPr>
                <w:rFonts w:ascii="Arial Narrow" w:hAnsi="Arial Narrow" w:cs="Arial"/>
                <w:sz w:val="20"/>
                <w:szCs w:val="20"/>
              </w:rPr>
              <w:t xml:space="preserve">, </w:t>
            </w:r>
            <w:r w:rsidRPr="00CE4691">
              <w:rPr>
                <w:rFonts w:ascii="Arial Narrow" w:hAnsi="Arial Narrow" w:cs="Arial"/>
                <w:sz w:val="20"/>
                <w:szCs w:val="20"/>
              </w:rPr>
              <w:t>blister pack</w:t>
            </w:r>
          </w:p>
        </w:tc>
        <w:tc>
          <w:tcPr>
            <w:tcW w:w="850" w:type="dxa"/>
          </w:tcPr>
          <w:p w:rsidR="00013E05" w:rsidRPr="00260CE3" w:rsidRDefault="00013E05" w:rsidP="00D203AD">
            <w:pPr>
              <w:keepNext/>
              <w:ind w:left="-108"/>
              <w:jc w:val="center"/>
              <w:rPr>
                <w:rFonts w:ascii="Arial Narrow" w:hAnsi="Arial Narrow" w:cs="Arial"/>
                <w:sz w:val="20"/>
                <w:szCs w:val="20"/>
              </w:rPr>
            </w:pPr>
            <w:r>
              <w:rPr>
                <w:rFonts w:ascii="Arial Narrow" w:hAnsi="Arial Narrow" w:cs="Arial"/>
                <w:sz w:val="20"/>
                <w:szCs w:val="20"/>
              </w:rPr>
              <w:t>1</w:t>
            </w:r>
          </w:p>
        </w:tc>
        <w:tc>
          <w:tcPr>
            <w:tcW w:w="567" w:type="dxa"/>
          </w:tcPr>
          <w:p w:rsidR="00013E05" w:rsidRPr="00260CE3" w:rsidRDefault="00013E05" w:rsidP="00D203AD">
            <w:pPr>
              <w:keepNext/>
              <w:ind w:left="-108"/>
              <w:jc w:val="center"/>
              <w:rPr>
                <w:rFonts w:ascii="Arial Narrow" w:hAnsi="Arial Narrow" w:cs="Arial"/>
                <w:sz w:val="20"/>
                <w:szCs w:val="20"/>
              </w:rPr>
            </w:pPr>
            <w:r>
              <w:rPr>
                <w:rFonts w:ascii="Arial Narrow" w:hAnsi="Arial Narrow" w:cs="Arial"/>
                <w:sz w:val="20"/>
                <w:szCs w:val="20"/>
              </w:rPr>
              <w:t>1</w:t>
            </w:r>
            <w:r w:rsidR="00CE4691">
              <w:rPr>
                <w:rFonts w:ascii="Arial Narrow" w:hAnsi="Arial Narrow" w:cs="Arial"/>
                <w:sz w:val="20"/>
                <w:szCs w:val="20"/>
              </w:rPr>
              <w:t>0</w:t>
            </w:r>
          </w:p>
        </w:tc>
        <w:tc>
          <w:tcPr>
            <w:tcW w:w="1701" w:type="dxa"/>
          </w:tcPr>
          <w:p w:rsidR="00013E05" w:rsidRPr="00260CE3" w:rsidRDefault="009E7E2F" w:rsidP="00D203AD">
            <w:pPr>
              <w:keepNext/>
              <w:ind w:left="-108"/>
              <w:jc w:val="center"/>
              <w:rPr>
                <w:rFonts w:ascii="Arial Narrow" w:hAnsi="Arial Narrow" w:cs="Arial"/>
                <w:sz w:val="20"/>
                <w:szCs w:val="20"/>
              </w:rPr>
            </w:pPr>
            <w:r>
              <w:rPr>
                <w:rFonts w:ascii="Arial Narrow" w:hAnsi="Arial Narrow" w:cs="Arial"/>
                <w:sz w:val="20"/>
                <w:szCs w:val="20"/>
              </w:rPr>
              <w:t>$3920.00</w:t>
            </w:r>
          </w:p>
        </w:tc>
        <w:tc>
          <w:tcPr>
            <w:tcW w:w="1418" w:type="dxa"/>
          </w:tcPr>
          <w:p w:rsidR="00CE4691" w:rsidRPr="00CE4691" w:rsidRDefault="00CE4691" w:rsidP="00CE4691">
            <w:pPr>
              <w:keepNext/>
              <w:jc w:val="center"/>
              <w:rPr>
                <w:rFonts w:ascii="Arial Narrow" w:hAnsi="Arial Narrow" w:cs="Arial"/>
                <w:b/>
                <w:sz w:val="20"/>
                <w:szCs w:val="20"/>
              </w:rPr>
            </w:pPr>
            <w:r w:rsidRPr="00CE4691">
              <w:rPr>
                <w:rFonts w:ascii="Arial Narrow" w:hAnsi="Arial Narrow" w:cs="Arial"/>
                <w:b/>
                <w:sz w:val="20"/>
                <w:szCs w:val="20"/>
              </w:rPr>
              <w:t>VICTRELIS</w:t>
            </w:r>
          </w:p>
          <w:p w:rsidR="00CE4691" w:rsidRPr="00260CE3" w:rsidRDefault="00CE4691" w:rsidP="00CE4691">
            <w:pPr>
              <w:keepNext/>
              <w:spacing w:line="240" w:lineRule="auto"/>
              <w:jc w:val="center"/>
              <w:rPr>
                <w:rFonts w:ascii="Arial Narrow" w:hAnsi="Arial Narrow" w:cs="Arial"/>
                <w:sz w:val="20"/>
                <w:szCs w:val="20"/>
              </w:rPr>
            </w:pPr>
            <w:r>
              <w:rPr>
                <w:rFonts w:ascii="Arial Narrow" w:hAnsi="Arial Narrow" w:cs="Arial"/>
                <w:sz w:val="20"/>
                <w:szCs w:val="20"/>
              </w:rPr>
              <w:t xml:space="preserve">Merck Sharp &amp; </w:t>
            </w:r>
            <w:proofErr w:type="spellStart"/>
            <w:r w:rsidRPr="00CE4691">
              <w:rPr>
                <w:rFonts w:ascii="Arial Narrow" w:hAnsi="Arial Narrow" w:cs="Arial"/>
                <w:sz w:val="20"/>
                <w:szCs w:val="20"/>
              </w:rPr>
              <w:t>Dohme</w:t>
            </w:r>
            <w:proofErr w:type="spellEnd"/>
            <w:r w:rsidRPr="00CE4691">
              <w:rPr>
                <w:rFonts w:ascii="Arial Narrow" w:hAnsi="Arial Narrow" w:cs="Arial"/>
                <w:sz w:val="20"/>
                <w:szCs w:val="20"/>
              </w:rPr>
              <w:t xml:space="preserve"> (Australia) Pty Ltd</w:t>
            </w:r>
          </w:p>
        </w:tc>
        <w:tc>
          <w:tcPr>
            <w:tcW w:w="1417" w:type="dxa"/>
          </w:tcPr>
          <w:p w:rsidR="00013E05" w:rsidRPr="00260CE3" w:rsidRDefault="00013E05" w:rsidP="00D203AD">
            <w:pPr>
              <w:keepNext/>
              <w:jc w:val="center"/>
              <w:rPr>
                <w:rFonts w:ascii="Arial Narrow" w:hAnsi="Arial Narrow" w:cs="Arial"/>
                <w:sz w:val="20"/>
                <w:szCs w:val="20"/>
              </w:rPr>
            </w:pPr>
          </w:p>
        </w:tc>
      </w:tr>
      <w:tr w:rsidR="00013E05" w:rsidRPr="00260CE3" w:rsidTr="00D203AD">
        <w:trPr>
          <w:trHeight w:val="360"/>
        </w:trPr>
        <w:tc>
          <w:tcPr>
            <w:tcW w:w="9214" w:type="dxa"/>
            <w:gridSpan w:val="7"/>
            <w:tcBorders>
              <w:bottom w:val="single" w:sz="4" w:space="0" w:color="auto"/>
            </w:tcBorders>
          </w:tcPr>
          <w:p w:rsidR="00013E05" w:rsidRPr="00260CE3" w:rsidRDefault="00013E05" w:rsidP="00CE4691">
            <w:pPr>
              <w:spacing w:after="0"/>
              <w:jc w:val="both"/>
              <w:rPr>
                <w:rFonts w:ascii="Arial Narrow" w:hAnsi="Arial Narrow" w:cs="Arial"/>
                <w:sz w:val="20"/>
                <w:szCs w:val="20"/>
              </w:rPr>
            </w:pP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 xml:space="preserve">Category / </w:t>
            </w:r>
          </w:p>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013E05" w:rsidP="00867554">
            <w:pPr>
              <w:rPr>
                <w:rFonts w:ascii="Arial Narrow" w:hAnsi="Arial Narrow" w:cs="Arial"/>
                <w:sz w:val="20"/>
                <w:szCs w:val="20"/>
              </w:rPr>
            </w:pPr>
          </w:p>
          <w:p w:rsidR="00CE4691" w:rsidRPr="00183501" w:rsidRDefault="00CE4691" w:rsidP="00867554">
            <w:pPr>
              <w:rPr>
                <w:rFonts w:ascii="Arial Narrow" w:hAnsi="Arial Narrow" w:cs="Arial"/>
                <w:sz w:val="20"/>
                <w:szCs w:val="20"/>
              </w:rPr>
            </w:pPr>
            <w:r w:rsidRPr="00183501">
              <w:rPr>
                <w:rFonts w:ascii="Arial Narrow" w:hAnsi="Arial Narrow" w:cs="Arial"/>
                <w:sz w:val="20"/>
                <w:szCs w:val="20"/>
              </w:rPr>
              <w:t>Section 100 (Highly Specialised Drugs) – private Hospitals (Code HS)</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013E05" w:rsidP="00D203AD">
            <w:pPr>
              <w:rPr>
                <w:rFonts w:ascii="Arial Narrow" w:hAnsi="Arial Narrow" w:cs="Arial"/>
                <w:sz w:val="20"/>
                <w:szCs w:val="20"/>
              </w:rPr>
            </w:pPr>
            <w:r w:rsidRPr="00183501">
              <w:rPr>
                <w:rFonts w:ascii="Arial Narrow" w:hAnsi="Arial Narrow" w:cs="Arial"/>
                <w:sz w:val="20"/>
                <w:szCs w:val="20"/>
              </w:rPr>
              <w:fldChar w:fldCharType="begin">
                <w:ffData>
                  <w:name w:val="Check1"/>
                  <w:enabled/>
                  <w:calcOnExit w:val="0"/>
                  <w:checkBox>
                    <w:sizeAuto/>
                    <w:default w:val="0"/>
                  </w:checkBox>
                </w:ffData>
              </w:fldChar>
            </w:r>
            <w:r w:rsidRPr="00183501">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sidRPr="00183501">
              <w:rPr>
                <w:rFonts w:ascii="Arial Narrow" w:hAnsi="Arial Narrow" w:cs="Arial"/>
                <w:sz w:val="20"/>
                <w:szCs w:val="20"/>
              </w:rPr>
              <w:fldChar w:fldCharType="end"/>
            </w:r>
            <w:r w:rsidRPr="00183501">
              <w:rPr>
                <w:rFonts w:ascii="Arial Narrow" w:hAnsi="Arial Narrow" w:cs="Arial"/>
                <w:sz w:val="20"/>
                <w:szCs w:val="20"/>
              </w:rPr>
              <w:t xml:space="preserve">Dental  </w:t>
            </w:r>
            <w:r w:rsidRPr="00183501">
              <w:rPr>
                <w:rFonts w:ascii="Arial Narrow" w:hAnsi="Arial Narrow" w:cs="Arial"/>
                <w:sz w:val="20"/>
                <w:szCs w:val="20"/>
              </w:rPr>
              <w:fldChar w:fldCharType="begin">
                <w:ffData>
                  <w:name w:val=""/>
                  <w:enabled/>
                  <w:calcOnExit w:val="0"/>
                  <w:checkBox>
                    <w:sizeAuto/>
                    <w:default w:val="1"/>
                  </w:checkBox>
                </w:ffData>
              </w:fldChar>
            </w:r>
            <w:r w:rsidRPr="00183501">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sidRPr="00183501">
              <w:rPr>
                <w:rFonts w:ascii="Arial Narrow" w:hAnsi="Arial Narrow" w:cs="Arial"/>
                <w:sz w:val="20"/>
                <w:szCs w:val="20"/>
              </w:rPr>
              <w:fldChar w:fldCharType="end"/>
            </w:r>
            <w:r w:rsidRPr="00183501">
              <w:rPr>
                <w:rFonts w:ascii="Arial Narrow" w:hAnsi="Arial Narrow" w:cs="Arial"/>
                <w:sz w:val="20"/>
                <w:szCs w:val="20"/>
              </w:rPr>
              <w:t xml:space="preserve">Medical Practitioners  </w:t>
            </w:r>
            <w:r w:rsidRPr="00183501">
              <w:rPr>
                <w:rFonts w:ascii="Arial Narrow" w:hAnsi="Arial Narrow" w:cs="Arial"/>
                <w:sz w:val="20"/>
                <w:szCs w:val="20"/>
              </w:rPr>
              <w:fldChar w:fldCharType="begin">
                <w:ffData>
                  <w:name w:val="Check3"/>
                  <w:enabled/>
                  <w:calcOnExit w:val="0"/>
                  <w:checkBox>
                    <w:sizeAuto/>
                    <w:default w:val="0"/>
                  </w:checkBox>
                </w:ffData>
              </w:fldChar>
            </w:r>
            <w:r w:rsidRPr="00183501">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sidRPr="00183501">
              <w:rPr>
                <w:rFonts w:ascii="Arial Narrow" w:hAnsi="Arial Narrow" w:cs="Arial"/>
                <w:sz w:val="20"/>
                <w:szCs w:val="20"/>
              </w:rPr>
              <w:fldChar w:fldCharType="end"/>
            </w:r>
            <w:r w:rsidRPr="00183501">
              <w:rPr>
                <w:rFonts w:ascii="Arial Narrow" w:hAnsi="Arial Narrow" w:cs="Arial"/>
                <w:sz w:val="20"/>
                <w:szCs w:val="20"/>
              </w:rPr>
              <w:t xml:space="preserve">Nurse practitioners  </w:t>
            </w:r>
            <w:r w:rsidRPr="00183501">
              <w:rPr>
                <w:rFonts w:ascii="Arial Narrow" w:hAnsi="Arial Narrow" w:cs="Arial"/>
                <w:sz w:val="20"/>
                <w:szCs w:val="20"/>
              </w:rPr>
              <w:fldChar w:fldCharType="begin">
                <w:ffData>
                  <w:name w:val=""/>
                  <w:enabled/>
                  <w:calcOnExit w:val="0"/>
                  <w:checkBox>
                    <w:sizeAuto/>
                    <w:default w:val="0"/>
                  </w:checkBox>
                </w:ffData>
              </w:fldChar>
            </w:r>
            <w:r w:rsidRPr="00183501">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sidRPr="00183501">
              <w:rPr>
                <w:rFonts w:ascii="Arial Narrow" w:hAnsi="Arial Narrow" w:cs="Arial"/>
                <w:sz w:val="20"/>
                <w:szCs w:val="20"/>
              </w:rPr>
              <w:fldChar w:fldCharType="end"/>
            </w:r>
            <w:r w:rsidRPr="00183501">
              <w:rPr>
                <w:rFonts w:ascii="Arial Narrow" w:hAnsi="Arial Narrow" w:cs="Arial"/>
                <w:sz w:val="20"/>
                <w:szCs w:val="20"/>
              </w:rPr>
              <w:t>Optometrists</w:t>
            </w:r>
          </w:p>
          <w:p w:rsidR="00013E05" w:rsidRPr="00183501" w:rsidRDefault="00013E05" w:rsidP="00D203AD">
            <w:pPr>
              <w:rPr>
                <w:rFonts w:ascii="Arial Narrow" w:hAnsi="Arial Narrow" w:cs="Arial"/>
                <w:sz w:val="20"/>
                <w:szCs w:val="20"/>
              </w:rPr>
            </w:pPr>
            <w:r w:rsidRPr="00183501">
              <w:rPr>
                <w:rFonts w:ascii="Arial Narrow" w:hAnsi="Arial Narrow" w:cs="Arial"/>
                <w:sz w:val="20"/>
                <w:szCs w:val="20"/>
              </w:rPr>
              <w:fldChar w:fldCharType="begin">
                <w:ffData>
                  <w:name w:val="Check5"/>
                  <w:enabled/>
                  <w:calcOnExit w:val="0"/>
                  <w:checkBox>
                    <w:sizeAuto/>
                    <w:default w:val="0"/>
                  </w:checkBox>
                </w:ffData>
              </w:fldChar>
            </w:r>
            <w:r w:rsidRPr="00183501">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sidRPr="00183501">
              <w:rPr>
                <w:rFonts w:ascii="Arial Narrow" w:hAnsi="Arial Narrow" w:cs="Arial"/>
                <w:sz w:val="20"/>
                <w:szCs w:val="20"/>
              </w:rPr>
              <w:fldChar w:fldCharType="end"/>
            </w:r>
            <w:r w:rsidRPr="00183501">
              <w:rPr>
                <w:rFonts w:ascii="Arial Narrow" w:hAnsi="Arial Narrow" w:cs="Arial"/>
                <w:sz w:val="20"/>
                <w:szCs w:val="20"/>
              </w:rPr>
              <w:t>Midwives</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D203AD">
            <w:pPr>
              <w:rPr>
                <w:rFonts w:ascii="Arial Narrow" w:hAnsi="Arial Narrow" w:cs="Arial"/>
                <w:sz w:val="20"/>
                <w:szCs w:val="20"/>
              </w:rPr>
            </w:pPr>
            <w:r>
              <w:rPr>
                <w:rFonts w:ascii="Arial Narrow" w:hAnsi="Arial Narrow" w:cs="Arial"/>
                <w:sz w:val="20"/>
                <w:szCs w:val="20"/>
              </w:rPr>
              <w:t>N/A</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Severity:</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D203AD">
            <w:pPr>
              <w:rPr>
                <w:rFonts w:ascii="Arial Narrow" w:hAnsi="Arial Narrow" w:cs="Arial"/>
                <w:sz w:val="20"/>
                <w:szCs w:val="20"/>
              </w:rPr>
            </w:pPr>
            <w:r>
              <w:rPr>
                <w:rFonts w:ascii="Arial Narrow" w:hAnsi="Arial Narrow" w:cs="Arial"/>
                <w:sz w:val="20"/>
                <w:szCs w:val="20"/>
              </w:rPr>
              <w:t>N/A</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CE4691" w:rsidP="00CE4691">
            <w:pPr>
              <w:pStyle w:val="NormalWeb"/>
              <w:rPr>
                <w:rFonts w:ascii="Arial Narrow" w:hAnsi="Arial Narrow"/>
                <w:sz w:val="20"/>
                <w:szCs w:val="20"/>
              </w:rPr>
            </w:pPr>
            <w:r w:rsidRPr="00183501">
              <w:rPr>
                <w:rFonts w:ascii="Arial Narrow" w:hAnsi="Arial Narrow"/>
                <w:sz w:val="20"/>
                <w:szCs w:val="20"/>
              </w:rPr>
              <w:t>Chronic genotype 1 hepatitis C infection</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CE4691" w:rsidP="00CE4691">
            <w:pPr>
              <w:pStyle w:val="NormalWeb"/>
              <w:rPr>
                <w:rFonts w:ascii="Arial Narrow" w:hAnsi="Arial Narrow"/>
                <w:sz w:val="20"/>
                <w:szCs w:val="20"/>
              </w:rPr>
            </w:pPr>
            <w:r w:rsidRPr="00183501">
              <w:rPr>
                <w:rFonts w:ascii="Arial Narrow" w:hAnsi="Arial Narrow"/>
                <w:sz w:val="20"/>
                <w:szCs w:val="20"/>
              </w:rPr>
              <w:t>Chronic genotype 1 hepatitis C infection</w:t>
            </w:r>
          </w:p>
        </w:tc>
      </w:tr>
      <w:tr w:rsidR="00013E05" w:rsidRPr="00260CE3" w:rsidTr="00D203AD">
        <w:trPr>
          <w:trHeight w:val="375"/>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i/>
                <w:sz w:val="20"/>
                <w:szCs w:val="20"/>
              </w:rPr>
            </w:pPr>
            <w:r w:rsidRPr="00260CE3">
              <w:rPr>
                <w:rFonts w:ascii="Arial Narrow" w:hAnsi="Arial Narrow" w:cs="Arial"/>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D203AD">
            <w:pPr>
              <w:rPr>
                <w:rFonts w:ascii="Arial Narrow" w:hAnsi="Arial Narrow" w:cs="Arial"/>
                <w:sz w:val="20"/>
                <w:szCs w:val="20"/>
              </w:rPr>
            </w:pPr>
            <w:r>
              <w:rPr>
                <w:rFonts w:ascii="Arial Narrow" w:hAnsi="Arial Narrow" w:cs="Arial"/>
                <w:sz w:val="20"/>
                <w:szCs w:val="20"/>
              </w:rPr>
              <w:t>N/A</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13E05" w:rsidRPr="00260CE3" w:rsidRDefault="00013E05" w:rsidP="00D203AD">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013E05" w:rsidP="00D203AD">
            <w:pPr>
              <w:rPr>
                <w:rFonts w:ascii="Arial Narrow" w:hAnsi="Arial Narrow" w:cs="Arial"/>
                <w:sz w:val="20"/>
                <w:szCs w:val="20"/>
              </w:rPr>
            </w:pPr>
            <w:r w:rsidRPr="00183501">
              <w:rPr>
                <w:rFonts w:ascii="Arial Narrow" w:hAnsi="Arial Narrow" w:cs="Arial"/>
                <w:sz w:val="20"/>
                <w:szCs w:val="20"/>
              </w:rPr>
              <w:fldChar w:fldCharType="begin">
                <w:ffData>
                  <w:name w:val="Check1"/>
                  <w:enabled/>
                  <w:calcOnExit w:val="0"/>
                  <w:checkBox>
                    <w:sizeAuto/>
                    <w:default w:val="0"/>
                  </w:checkBox>
                </w:ffData>
              </w:fldChar>
            </w:r>
            <w:r w:rsidRPr="00183501">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sidRPr="00183501">
              <w:rPr>
                <w:rFonts w:ascii="Arial Narrow" w:hAnsi="Arial Narrow" w:cs="Arial"/>
                <w:sz w:val="20"/>
                <w:szCs w:val="20"/>
              </w:rPr>
              <w:fldChar w:fldCharType="end"/>
            </w:r>
            <w:r w:rsidRPr="00183501">
              <w:rPr>
                <w:rFonts w:ascii="Arial Narrow" w:hAnsi="Arial Narrow" w:cs="Arial"/>
                <w:sz w:val="20"/>
                <w:szCs w:val="20"/>
              </w:rPr>
              <w:t>Restricted benefit</w:t>
            </w:r>
          </w:p>
          <w:p w:rsidR="00013E05" w:rsidRPr="00183501" w:rsidRDefault="00310AEC" w:rsidP="00D203A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Pr>
                <w:rFonts w:ascii="Arial Narrow" w:hAnsi="Arial Narrow" w:cs="Arial"/>
                <w:sz w:val="20"/>
                <w:szCs w:val="20"/>
              </w:rPr>
              <w:fldChar w:fldCharType="end"/>
            </w:r>
            <w:r w:rsidR="00013E05" w:rsidRPr="00183501">
              <w:rPr>
                <w:rFonts w:ascii="Arial Narrow" w:hAnsi="Arial Narrow" w:cs="Arial"/>
                <w:sz w:val="20"/>
                <w:szCs w:val="20"/>
              </w:rPr>
              <w:t>Authority Required - In Writing</w:t>
            </w:r>
          </w:p>
          <w:p w:rsidR="00013E05" w:rsidRPr="00183501" w:rsidRDefault="00310AEC" w:rsidP="00D203A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bookmarkStart w:id="0" w:name="Check3"/>
            <w:r>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Pr>
                <w:rFonts w:ascii="Arial Narrow" w:hAnsi="Arial Narrow" w:cs="Arial"/>
                <w:sz w:val="20"/>
                <w:szCs w:val="20"/>
              </w:rPr>
              <w:fldChar w:fldCharType="end"/>
            </w:r>
            <w:bookmarkEnd w:id="0"/>
            <w:r w:rsidR="00013E05" w:rsidRPr="00183501">
              <w:rPr>
                <w:rFonts w:ascii="Arial Narrow" w:hAnsi="Arial Narrow" w:cs="Arial"/>
                <w:sz w:val="20"/>
                <w:szCs w:val="20"/>
              </w:rPr>
              <w:t>Authority Required - Telephone</w:t>
            </w:r>
          </w:p>
          <w:p w:rsidR="00013E05" w:rsidRPr="00183501" w:rsidRDefault="00310AEC" w:rsidP="00D203A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Pr>
                <w:rFonts w:ascii="Arial Narrow" w:hAnsi="Arial Narrow" w:cs="Arial"/>
                <w:sz w:val="20"/>
                <w:szCs w:val="20"/>
              </w:rPr>
              <w:fldChar w:fldCharType="end"/>
            </w:r>
            <w:r w:rsidR="00013E05" w:rsidRPr="00183501">
              <w:rPr>
                <w:rFonts w:ascii="Arial Narrow" w:hAnsi="Arial Narrow" w:cs="Arial"/>
                <w:sz w:val="20"/>
                <w:szCs w:val="20"/>
              </w:rPr>
              <w:t>Authority Required – Emergency</w:t>
            </w:r>
          </w:p>
          <w:p w:rsidR="00013E05" w:rsidRPr="00183501" w:rsidRDefault="00310AEC" w:rsidP="00D203AD">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bookmarkStart w:id="1" w:name="Check5"/>
            <w:r>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Pr>
                <w:rFonts w:ascii="Arial Narrow" w:hAnsi="Arial Narrow" w:cs="Arial"/>
                <w:sz w:val="20"/>
                <w:szCs w:val="20"/>
              </w:rPr>
              <w:fldChar w:fldCharType="end"/>
            </w:r>
            <w:bookmarkEnd w:id="1"/>
            <w:r w:rsidR="00013E05" w:rsidRPr="00183501">
              <w:rPr>
                <w:rFonts w:ascii="Arial Narrow" w:hAnsi="Arial Narrow" w:cs="Arial"/>
                <w:sz w:val="20"/>
                <w:szCs w:val="20"/>
              </w:rPr>
              <w:t>Authority Required - Electronic</w:t>
            </w:r>
          </w:p>
          <w:p w:rsidR="00013E05" w:rsidRPr="00183501" w:rsidRDefault="00310AEC" w:rsidP="00D203A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E4BEB">
              <w:rPr>
                <w:rFonts w:ascii="Arial Narrow" w:hAnsi="Arial Narrow" w:cs="Arial"/>
                <w:sz w:val="20"/>
                <w:szCs w:val="20"/>
              </w:rPr>
            </w:r>
            <w:r w:rsidR="00FE4BEB">
              <w:rPr>
                <w:rFonts w:ascii="Arial Narrow" w:hAnsi="Arial Narrow" w:cs="Arial"/>
                <w:sz w:val="20"/>
                <w:szCs w:val="20"/>
              </w:rPr>
              <w:fldChar w:fldCharType="separate"/>
            </w:r>
            <w:r>
              <w:rPr>
                <w:rFonts w:ascii="Arial Narrow" w:hAnsi="Arial Narrow" w:cs="Arial"/>
                <w:sz w:val="20"/>
                <w:szCs w:val="20"/>
              </w:rPr>
              <w:fldChar w:fldCharType="end"/>
            </w:r>
            <w:r w:rsidR="00013E05" w:rsidRPr="00183501">
              <w:rPr>
                <w:rFonts w:ascii="Arial Narrow" w:hAnsi="Arial Narrow" w:cs="Arial"/>
                <w:sz w:val="20"/>
                <w:szCs w:val="20"/>
              </w:rPr>
              <w:t>Streamlined</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424B09" w:rsidRDefault="00013E05" w:rsidP="00D203AD">
            <w:pPr>
              <w:rPr>
                <w:rFonts w:ascii="Arial Narrow" w:hAnsi="Arial Narrow" w:cs="Arial"/>
                <w:b/>
                <w:sz w:val="20"/>
                <w:szCs w:val="20"/>
              </w:rPr>
            </w:pPr>
            <w:r w:rsidRPr="00260CE3">
              <w:rPr>
                <w:rFonts w:ascii="Arial Narrow" w:hAnsi="Arial Narrow" w:cs="Arial"/>
                <w:b/>
                <w:sz w:val="20"/>
                <w:szCs w:val="20"/>
              </w:rPr>
              <w:t>Treatment criteria:</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183501">
            <w:pPr>
              <w:pStyle w:val="NormalWeb"/>
              <w:rPr>
                <w:rFonts w:ascii="Arial Narrow" w:hAnsi="Arial Narrow"/>
                <w:sz w:val="20"/>
                <w:szCs w:val="20"/>
              </w:rPr>
            </w:pPr>
            <w:r w:rsidRPr="00183501">
              <w:rPr>
                <w:rFonts w:ascii="Arial Narrow" w:hAnsi="Arial Narrow"/>
                <w:sz w:val="20"/>
                <w:szCs w:val="20"/>
              </w:rPr>
              <w:t>Must be treated in an accredited treatment centre.</w:t>
            </w:r>
          </w:p>
        </w:tc>
      </w:tr>
      <w:tr w:rsidR="00013E05" w:rsidRPr="00424B09"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Clinical criteria:</w:t>
            </w:r>
          </w:p>
          <w:p w:rsidR="00013E05" w:rsidRPr="00260CE3" w:rsidRDefault="00013E05" w:rsidP="00D203AD">
            <w:pPr>
              <w:jc w:val="both"/>
              <w:rPr>
                <w:rFonts w:ascii="Arial Narrow" w:hAnsi="Arial Narrow" w:cs="Arial"/>
                <w:i/>
                <w:sz w:val="20"/>
                <w:szCs w:val="20"/>
              </w:rPr>
            </w:pPr>
          </w:p>
          <w:p w:rsidR="00013E05" w:rsidRPr="00260CE3" w:rsidRDefault="00013E05" w:rsidP="00D203AD">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CE4691" w:rsidRPr="00183501" w:rsidRDefault="00CE4691" w:rsidP="00183501">
            <w:pPr>
              <w:pStyle w:val="NormalWeb"/>
              <w:ind w:left="795"/>
              <w:rPr>
                <w:rFonts w:ascii="Arial Narrow" w:hAnsi="Arial Narrow"/>
                <w:sz w:val="20"/>
                <w:szCs w:val="20"/>
              </w:rPr>
            </w:pPr>
            <w:r w:rsidRPr="00183501">
              <w:rPr>
                <w:rFonts w:ascii="Arial Narrow" w:hAnsi="Arial Narrow"/>
                <w:sz w:val="20"/>
                <w:szCs w:val="20"/>
              </w:rPr>
              <w:t>Patient must have compensated liver disease,</w:t>
            </w:r>
          </w:p>
          <w:p w:rsidR="00CE4691" w:rsidRPr="00183501" w:rsidRDefault="00CE4691" w:rsidP="00CE4691">
            <w:pPr>
              <w:pStyle w:val="NormalWeb"/>
              <w:rPr>
                <w:rFonts w:ascii="Arial Narrow" w:hAnsi="Arial Narrow"/>
                <w:sz w:val="20"/>
                <w:szCs w:val="20"/>
              </w:rPr>
            </w:pPr>
            <w:r w:rsidRPr="00183501">
              <w:rPr>
                <w:rFonts w:ascii="Arial Narrow" w:hAnsi="Arial Narrow"/>
                <w:b/>
                <w:bCs/>
                <w:sz w:val="20"/>
                <w:szCs w:val="20"/>
              </w:rPr>
              <w:t>AND</w:t>
            </w:r>
          </w:p>
          <w:p w:rsidR="00CE4691" w:rsidRPr="00183501" w:rsidRDefault="00CE4691" w:rsidP="00FE4BEB">
            <w:pPr>
              <w:pStyle w:val="NormalWeb"/>
              <w:numPr>
                <w:ilvl w:val="0"/>
                <w:numId w:val="7"/>
              </w:numPr>
              <w:tabs>
                <w:tab w:val="clear" w:pos="720"/>
                <w:tab w:val="num" w:pos="743"/>
              </w:tabs>
              <w:ind w:left="795"/>
              <w:rPr>
                <w:rFonts w:ascii="Arial Narrow" w:hAnsi="Arial Narrow"/>
                <w:sz w:val="20"/>
                <w:szCs w:val="20"/>
              </w:rPr>
            </w:pPr>
            <w:r w:rsidRPr="00183501">
              <w:rPr>
                <w:rFonts w:ascii="Arial Narrow" w:hAnsi="Arial Narrow"/>
                <w:sz w:val="20"/>
                <w:szCs w:val="20"/>
              </w:rPr>
              <w:t xml:space="preserve">Patient must have received no more than one prior treatment with interferon </w:t>
            </w:r>
            <w:proofErr w:type="spellStart"/>
            <w:r w:rsidRPr="00183501">
              <w:rPr>
                <w:rFonts w:ascii="Arial Narrow" w:hAnsi="Arial Narrow"/>
                <w:sz w:val="20"/>
                <w:szCs w:val="20"/>
              </w:rPr>
              <w:t>alfa</w:t>
            </w:r>
            <w:proofErr w:type="spellEnd"/>
            <w:r w:rsidRPr="00183501">
              <w:rPr>
                <w:rFonts w:ascii="Arial Narrow" w:hAnsi="Arial Narrow"/>
                <w:sz w:val="20"/>
                <w:szCs w:val="20"/>
              </w:rPr>
              <w:t xml:space="preserve"> or </w:t>
            </w:r>
            <w:proofErr w:type="spellStart"/>
            <w:r w:rsidRPr="00183501">
              <w:rPr>
                <w:rFonts w:ascii="Arial Narrow" w:hAnsi="Arial Narrow"/>
                <w:sz w:val="20"/>
                <w:szCs w:val="20"/>
              </w:rPr>
              <w:t>peg</w:t>
            </w:r>
            <w:bookmarkStart w:id="2" w:name="_GoBack"/>
            <w:bookmarkEnd w:id="2"/>
            <w:r w:rsidRPr="00183501">
              <w:rPr>
                <w:rFonts w:ascii="Arial Narrow" w:hAnsi="Arial Narrow"/>
                <w:sz w:val="20"/>
                <w:szCs w:val="20"/>
              </w:rPr>
              <w:t>interferon</w:t>
            </w:r>
            <w:proofErr w:type="spellEnd"/>
            <w:r w:rsidRPr="00183501">
              <w:rPr>
                <w:rFonts w:ascii="Arial Narrow" w:hAnsi="Arial Narrow"/>
                <w:sz w:val="20"/>
                <w:szCs w:val="20"/>
              </w:rPr>
              <w:t xml:space="preserve"> </w:t>
            </w:r>
            <w:proofErr w:type="spellStart"/>
            <w:r w:rsidRPr="00183501">
              <w:rPr>
                <w:rFonts w:ascii="Arial Narrow" w:hAnsi="Arial Narrow"/>
                <w:sz w:val="20"/>
                <w:szCs w:val="20"/>
              </w:rPr>
              <w:t>alfa</w:t>
            </w:r>
            <w:proofErr w:type="spellEnd"/>
            <w:r w:rsidRPr="00183501">
              <w:rPr>
                <w:rFonts w:ascii="Arial Narrow" w:hAnsi="Arial Narrow"/>
                <w:sz w:val="20"/>
                <w:szCs w:val="20"/>
              </w:rPr>
              <w:t xml:space="preserve"> for hepatitis C,</w:t>
            </w:r>
          </w:p>
          <w:p w:rsidR="00CE4691" w:rsidRPr="00183501" w:rsidRDefault="00CE4691" w:rsidP="00CE4691">
            <w:pPr>
              <w:pStyle w:val="NormalWeb"/>
              <w:rPr>
                <w:rFonts w:ascii="Arial Narrow" w:hAnsi="Arial Narrow"/>
                <w:sz w:val="20"/>
                <w:szCs w:val="20"/>
              </w:rPr>
            </w:pPr>
            <w:r w:rsidRPr="00183501">
              <w:rPr>
                <w:rFonts w:ascii="Arial Narrow" w:hAnsi="Arial Narrow"/>
                <w:b/>
                <w:bCs/>
                <w:sz w:val="20"/>
                <w:szCs w:val="20"/>
              </w:rPr>
              <w:t>AND</w:t>
            </w:r>
          </w:p>
          <w:p w:rsidR="00CE4691" w:rsidRPr="00183501" w:rsidRDefault="00CE4691" w:rsidP="00CE4691">
            <w:pPr>
              <w:pStyle w:val="NormalWeb"/>
              <w:numPr>
                <w:ilvl w:val="0"/>
                <w:numId w:val="8"/>
              </w:numPr>
              <w:ind w:left="795"/>
              <w:rPr>
                <w:rFonts w:ascii="Arial Narrow" w:hAnsi="Arial Narrow"/>
                <w:sz w:val="20"/>
                <w:szCs w:val="20"/>
              </w:rPr>
            </w:pPr>
            <w:r w:rsidRPr="00183501">
              <w:rPr>
                <w:rFonts w:ascii="Arial Narrow" w:hAnsi="Arial Narrow"/>
                <w:sz w:val="20"/>
                <w:szCs w:val="20"/>
              </w:rPr>
              <w:t xml:space="preserve">The treatment must be in combination with </w:t>
            </w:r>
            <w:proofErr w:type="spellStart"/>
            <w:r w:rsidRPr="00183501">
              <w:rPr>
                <w:rFonts w:ascii="Arial Narrow" w:hAnsi="Arial Narrow"/>
                <w:sz w:val="20"/>
                <w:szCs w:val="20"/>
              </w:rPr>
              <w:t>peginterferon</w:t>
            </w:r>
            <w:proofErr w:type="spellEnd"/>
            <w:r w:rsidRPr="00183501">
              <w:rPr>
                <w:rFonts w:ascii="Arial Narrow" w:hAnsi="Arial Narrow"/>
                <w:sz w:val="20"/>
                <w:szCs w:val="20"/>
              </w:rPr>
              <w:t xml:space="preserve"> </w:t>
            </w:r>
            <w:proofErr w:type="spellStart"/>
            <w:r w:rsidRPr="00183501">
              <w:rPr>
                <w:rFonts w:ascii="Arial Narrow" w:hAnsi="Arial Narrow"/>
                <w:sz w:val="20"/>
                <w:szCs w:val="20"/>
              </w:rPr>
              <w:t>alfa</w:t>
            </w:r>
            <w:proofErr w:type="spellEnd"/>
            <w:r w:rsidRPr="00183501">
              <w:rPr>
                <w:rFonts w:ascii="Arial Narrow" w:hAnsi="Arial Narrow"/>
                <w:sz w:val="20"/>
                <w:szCs w:val="20"/>
              </w:rPr>
              <w:t xml:space="preserve"> and ribavirin,</w:t>
            </w:r>
          </w:p>
          <w:p w:rsidR="00CE4691" w:rsidRPr="00183501" w:rsidRDefault="00CE4691" w:rsidP="00CE4691">
            <w:pPr>
              <w:pStyle w:val="NormalWeb"/>
              <w:rPr>
                <w:rFonts w:ascii="Arial Narrow" w:hAnsi="Arial Narrow"/>
                <w:sz w:val="20"/>
                <w:szCs w:val="20"/>
              </w:rPr>
            </w:pPr>
            <w:r w:rsidRPr="00183501">
              <w:rPr>
                <w:rFonts w:ascii="Arial Narrow" w:hAnsi="Arial Narrow"/>
                <w:b/>
                <w:bCs/>
                <w:sz w:val="20"/>
                <w:szCs w:val="20"/>
              </w:rPr>
              <w:t>AND</w:t>
            </w:r>
          </w:p>
          <w:p w:rsidR="00CE4691" w:rsidRPr="00183501" w:rsidRDefault="00CE4691" w:rsidP="00CE4691">
            <w:pPr>
              <w:pStyle w:val="NormalWeb"/>
              <w:numPr>
                <w:ilvl w:val="0"/>
                <w:numId w:val="9"/>
              </w:numPr>
              <w:ind w:left="795"/>
              <w:rPr>
                <w:rFonts w:ascii="Arial Narrow" w:hAnsi="Arial Narrow"/>
                <w:sz w:val="20"/>
                <w:szCs w:val="20"/>
              </w:rPr>
            </w:pPr>
            <w:r w:rsidRPr="00183501">
              <w:rPr>
                <w:rFonts w:ascii="Arial Narrow" w:hAnsi="Arial Narrow"/>
                <w:sz w:val="20"/>
                <w:szCs w:val="20"/>
              </w:rPr>
              <w:t xml:space="preserve">The treatment must be limited to a maximum duration of 32 weeks in patients without hepatic cirrhosis who were partial responders or </w:t>
            </w:r>
            <w:proofErr w:type="spellStart"/>
            <w:r w:rsidRPr="00183501">
              <w:rPr>
                <w:rFonts w:ascii="Arial Narrow" w:hAnsi="Arial Narrow"/>
                <w:sz w:val="20"/>
                <w:szCs w:val="20"/>
              </w:rPr>
              <w:t>relapsers</w:t>
            </w:r>
            <w:proofErr w:type="spellEnd"/>
            <w:r w:rsidRPr="00183501">
              <w:rPr>
                <w:rFonts w:ascii="Arial Narrow" w:hAnsi="Arial Narrow"/>
                <w:sz w:val="20"/>
                <w:szCs w:val="20"/>
              </w:rPr>
              <w:t xml:space="preserve"> to the prior course of </w:t>
            </w:r>
            <w:r w:rsidRPr="00183501">
              <w:rPr>
                <w:rFonts w:ascii="Arial Narrow" w:hAnsi="Arial Narrow"/>
                <w:sz w:val="20"/>
                <w:szCs w:val="20"/>
              </w:rPr>
              <w:lastRenderedPageBreak/>
              <w:t xml:space="preserve">interferon based therapy for hepatitis C; </w:t>
            </w:r>
            <w:r w:rsidRPr="00C11033">
              <w:rPr>
                <w:rFonts w:ascii="Arial Narrow" w:hAnsi="Arial Narrow"/>
                <w:b/>
                <w:sz w:val="20"/>
                <w:szCs w:val="20"/>
              </w:rPr>
              <w:t>OR</w:t>
            </w:r>
          </w:p>
          <w:p w:rsidR="00CE4691" w:rsidRPr="00183501" w:rsidRDefault="00CE4691" w:rsidP="00CE4691">
            <w:pPr>
              <w:pStyle w:val="NormalWeb"/>
              <w:numPr>
                <w:ilvl w:val="0"/>
                <w:numId w:val="9"/>
              </w:numPr>
              <w:ind w:left="795"/>
              <w:rPr>
                <w:rFonts w:ascii="Arial Narrow" w:hAnsi="Arial Narrow"/>
                <w:sz w:val="20"/>
                <w:szCs w:val="20"/>
              </w:rPr>
            </w:pPr>
            <w:r w:rsidRPr="00183501">
              <w:rPr>
                <w:rFonts w:ascii="Arial Narrow" w:hAnsi="Arial Narrow"/>
                <w:sz w:val="20"/>
                <w:szCs w:val="20"/>
              </w:rPr>
              <w:t xml:space="preserve">The treatment must be limited to a maximum duration of 44 weeks in patients without hepatic cirrhosis who were null responders to the prior course of interferon based therapy for hepatitis C; </w:t>
            </w:r>
            <w:r w:rsidRPr="00C11033">
              <w:rPr>
                <w:rFonts w:ascii="Arial Narrow" w:hAnsi="Arial Narrow"/>
                <w:b/>
                <w:sz w:val="20"/>
                <w:szCs w:val="20"/>
              </w:rPr>
              <w:t>OR</w:t>
            </w:r>
          </w:p>
          <w:p w:rsidR="00CE4691" w:rsidRPr="00183501" w:rsidRDefault="00CE4691" w:rsidP="00CE4691">
            <w:pPr>
              <w:pStyle w:val="NormalWeb"/>
              <w:numPr>
                <w:ilvl w:val="0"/>
                <w:numId w:val="9"/>
              </w:numPr>
              <w:ind w:left="795"/>
              <w:rPr>
                <w:rFonts w:ascii="Arial Narrow" w:hAnsi="Arial Narrow"/>
                <w:sz w:val="20"/>
                <w:szCs w:val="20"/>
              </w:rPr>
            </w:pPr>
            <w:r w:rsidRPr="00183501">
              <w:rPr>
                <w:rFonts w:ascii="Arial Narrow" w:hAnsi="Arial Narrow"/>
                <w:sz w:val="20"/>
                <w:szCs w:val="20"/>
              </w:rPr>
              <w:t>The treatment must be limited to a maximum duration of 44 weeks for all patients with hepatic cirrhosis,</w:t>
            </w:r>
          </w:p>
          <w:p w:rsidR="00CE4691" w:rsidRPr="00183501" w:rsidRDefault="00CE4691" w:rsidP="00CE4691">
            <w:pPr>
              <w:pStyle w:val="NormalWeb"/>
              <w:rPr>
                <w:rFonts w:ascii="Arial Narrow" w:hAnsi="Arial Narrow"/>
                <w:sz w:val="20"/>
                <w:szCs w:val="20"/>
              </w:rPr>
            </w:pPr>
            <w:r w:rsidRPr="00183501">
              <w:rPr>
                <w:rFonts w:ascii="Arial Narrow" w:hAnsi="Arial Narrow"/>
                <w:b/>
                <w:bCs/>
                <w:sz w:val="20"/>
                <w:szCs w:val="20"/>
              </w:rPr>
              <w:t>AND</w:t>
            </w:r>
          </w:p>
          <w:p w:rsidR="00CE4691" w:rsidRPr="00183501" w:rsidRDefault="00CE4691" w:rsidP="00CE4691">
            <w:pPr>
              <w:pStyle w:val="NormalWeb"/>
              <w:numPr>
                <w:ilvl w:val="0"/>
                <w:numId w:val="10"/>
              </w:numPr>
              <w:ind w:left="795"/>
              <w:rPr>
                <w:rFonts w:ascii="Arial Narrow" w:hAnsi="Arial Narrow"/>
                <w:sz w:val="20"/>
                <w:szCs w:val="20"/>
              </w:rPr>
            </w:pPr>
            <w:r w:rsidRPr="00183501">
              <w:rPr>
                <w:rFonts w:ascii="Arial Narrow" w:hAnsi="Arial Narrow"/>
                <w:sz w:val="20"/>
                <w:szCs w:val="20"/>
              </w:rPr>
              <w:t xml:space="preserve">The treatment must cease after the first 8 weeks of </w:t>
            </w:r>
            <w:proofErr w:type="spellStart"/>
            <w:r w:rsidRPr="00183501">
              <w:rPr>
                <w:rFonts w:ascii="Arial Narrow" w:hAnsi="Arial Narrow"/>
                <w:sz w:val="20"/>
                <w:szCs w:val="20"/>
              </w:rPr>
              <w:t>boceprevir</w:t>
            </w:r>
            <w:proofErr w:type="spellEnd"/>
            <w:r w:rsidRPr="00183501">
              <w:rPr>
                <w:rFonts w:ascii="Arial Narrow" w:hAnsi="Arial Narrow"/>
                <w:sz w:val="20"/>
                <w:szCs w:val="20"/>
              </w:rPr>
              <w:t xml:space="preserve"> treatment if plasma HCV RNA is detectable by an HCV RNA qualitative assay at treatment week 12,</w:t>
            </w:r>
          </w:p>
          <w:p w:rsidR="00CE4691" w:rsidRPr="00183501" w:rsidRDefault="00CE4691" w:rsidP="00CE4691">
            <w:pPr>
              <w:pStyle w:val="NormalWeb"/>
              <w:rPr>
                <w:rFonts w:ascii="Arial Narrow" w:hAnsi="Arial Narrow"/>
                <w:sz w:val="20"/>
                <w:szCs w:val="20"/>
              </w:rPr>
            </w:pPr>
            <w:r w:rsidRPr="00183501">
              <w:rPr>
                <w:rFonts w:ascii="Arial Narrow" w:hAnsi="Arial Narrow"/>
                <w:b/>
                <w:bCs/>
                <w:sz w:val="20"/>
                <w:szCs w:val="20"/>
              </w:rPr>
              <w:t>AND</w:t>
            </w:r>
          </w:p>
          <w:p w:rsidR="00CE4691" w:rsidRPr="00183501" w:rsidRDefault="00CE4691" w:rsidP="00CE4691">
            <w:pPr>
              <w:pStyle w:val="NormalWeb"/>
              <w:numPr>
                <w:ilvl w:val="0"/>
                <w:numId w:val="11"/>
              </w:numPr>
              <w:ind w:left="795"/>
              <w:rPr>
                <w:rFonts w:ascii="Arial Narrow" w:hAnsi="Arial Narrow"/>
                <w:sz w:val="20"/>
                <w:szCs w:val="20"/>
              </w:rPr>
            </w:pPr>
            <w:r w:rsidRPr="00183501">
              <w:rPr>
                <w:rFonts w:ascii="Arial Narrow" w:hAnsi="Arial Narrow"/>
                <w:sz w:val="20"/>
                <w:szCs w:val="20"/>
              </w:rPr>
              <w:t xml:space="preserve">The treatment must cease after the first 20 weeks of </w:t>
            </w:r>
            <w:proofErr w:type="spellStart"/>
            <w:r w:rsidRPr="00183501">
              <w:rPr>
                <w:rFonts w:ascii="Arial Narrow" w:hAnsi="Arial Narrow"/>
                <w:sz w:val="20"/>
                <w:szCs w:val="20"/>
              </w:rPr>
              <w:t>boceprevir</w:t>
            </w:r>
            <w:proofErr w:type="spellEnd"/>
            <w:r w:rsidRPr="00183501">
              <w:rPr>
                <w:rFonts w:ascii="Arial Narrow" w:hAnsi="Arial Narrow"/>
                <w:sz w:val="20"/>
                <w:szCs w:val="20"/>
              </w:rPr>
              <w:t xml:space="preserve"> treatment if plasma HCV RNA is detectable by an HCV RNA qualitative assay at treatment week 24.</w:t>
            </w:r>
          </w:p>
          <w:p w:rsidR="00013E05" w:rsidRPr="00183501" w:rsidRDefault="00013E05" w:rsidP="00D203AD">
            <w:pPr>
              <w:spacing w:after="120"/>
              <w:ind w:left="342"/>
              <w:rPr>
                <w:rFonts w:ascii="Arial Narrow" w:hAnsi="Arial Narrow" w:cs="Arial"/>
                <w:sz w:val="20"/>
                <w:szCs w:val="20"/>
              </w:rPr>
            </w:pP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rPr>
                <w:rFonts w:ascii="Arial Narrow" w:hAnsi="Arial Narrow" w:cs="Arial"/>
                <w:sz w:val="20"/>
                <w:szCs w:val="20"/>
              </w:rPr>
            </w:pPr>
            <w:r w:rsidRPr="00260CE3">
              <w:rPr>
                <w:rFonts w:ascii="Arial Narrow" w:hAnsi="Arial Narrow" w:cs="Arial"/>
                <w:b/>
                <w:sz w:val="20"/>
                <w:szCs w:val="20"/>
              </w:rPr>
              <w:lastRenderedPageBreak/>
              <w:t>Population criteria:</w:t>
            </w:r>
          </w:p>
        </w:tc>
        <w:tc>
          <w:tcPr>
            <w:tcW w:w="7371" w:type="dxa"/>
            <w:gridSpan w:val="6"/>
            <w:tcBorders>
              <w:top w:val="single" w:sz="4" w:space="0" w:color="auto"/>
              <w:left w:val="single" w:sz="4" w:space="0" w:color="auto"/>
              <w:bottom w:val="single" w:sz="4" w:space="0" w:color="auto"/>
              <w:right w:val="single" w:sz="4" w:space="0" w:color="auto"/>
            </w:tcBorders>
          </w:tcPr>
          <w:p w:rsidR="00183501" w:rsidRPr="00183501" w:rsidRDefault="00183501" w:rsidP="00183501">
            <w:pPr>
              <w:pStyle w:val="NormalWeb"/>
              <w:numPr>
                <w:ilvl w:val="0"/>
                <w:numId w:val="13"/>
              </w:numPr>
              <w:ind w:left="795"/>
              <w:rPr>
                <w:rFonts w:ascii="Arial Narrow" w:hAnsi="Arial Narrow"/>
                <w:sz w:val="20"/>
                <w:szCs w:val="20"/>
              </w:rPr>
            </w:pPr>
            <w:r w:rsidRPr="00183501">
              <w:rPr>
                <w:rFonts w:ascii="Arial Narrow" w:hAnsi="Arial Narrow"/>
                <w:sz w:val="20"/>
                <w:szCs w:val="20"/>
              </w:rPr>
              <w:t>Patient must be 18 years or older,</w:t>
            </w:r>
          </w:p>
          <w:p w:rsidR="00183501" w:rsidRPr="00183501" w:rsidRDefault="00183501" w:rsidP="00183501">
            <w:pPr>
              <w:pStyle w:val="NormalWeb"/>
              <w:rPr>
                <w:rFonts w:ascii="Arial Narrow" w:hAnsi="Arial Narrow"/>
                <w:sz w:val="20"/>
                <w:szCs w:val="20"/>
              </w:rPr>
            </w:pPr>
            <w:r w:rsidRPr="00183501">
              <w:rPr>
                <w:rFonts w:ascii="Arial Narrow" w:hAnsi="Arial Narrow"/>
                <w:b/>
                <w:bCs/>
                <w:sz w:val="20"/>
                <w:szCs w:val="20"/>
              </w:rPr>
              <w:t>AND</w:t>
            </w:r>
          </w:p>
          <w:p w:rsidR="00013E05" w:rsidRPr="00183501" w:rsidRDefault="00183501" w:rsidP="00183501">
            <w:pPr>
              <w:pStyle w:val="NormalWeb"/>
              <w:numPr>
                <w:ilvl w:val="0"/>
                <w:numId w:val="14"/>
              </w:numPr>
              <w:ind w:left="795"/>
              <w:rPr>
                <w:rFonts w:ascii="Arial Narrow" w:hAnsi="Arial Narrow"/>
                <w:sz w:val="20"/>
                <w:szCs w:val="20"/>
              </w:rPr>
            </w:pPr>
            <w:r w:rsidRPr="00183501">
              <w:rPr>
                <w:rFonts w:ascii="Arial Narrow" w:hAnsi="Arial Narrow"/>
                <w:sz w:val="20"/>
                <w:szCs w:val="20"/>
              </w:rPr>
              <w:t>Patient must not be pregnant or breastfeeding. Female partners of male patients must not be pregnant. Patients and their partners must each be using an effective form of contraception if of child-bearing age</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424B09" w:rsidRDefault="00013E05" w:rsidP="00D203AD">
            <w:pPr>
              <w:jc w:val="both"/>
              <w:rPr>
                <w:rFonts w:ascii="Arial Narrow" w:hAnsi="Arial Narrow" w:cs="Arial"/>
                <w:b/>
                <w:sz w:val="20"/>
                <w:szCs w:val="20"/>
              </w:rPr>
            </w:pPr>
            <w:r w:rsidRPr="00260CE3">
              <w:rPr>
                <w:rFonts w:ascii="Arial Narrow" w:hAnsi="Arial Narrow" w:cs="Arial"/>
                <w:b/>
                <w:sz w:val="20"/>
                <w:szCs w:val="20"/>
              </w:rPr>
              <w:t>Foreword</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D203AD">
            <w:pPr>
              <w:rPr>
                <w:rFonts w:ascii="Arial Narrow" w:hAnsi="Arial Narrow" w:cs="Arial"/>
                <w:sz w:val="20"/>
                <w:szCs w:val="20"/>
              </w:rPr>
            </w:pPr>
            <w:r>
              <w:rPr>
                <w:rFonts w:ascii="Arial Narrow" w:hAnsi="Arial Narrow" w:cs="Arial"/>
                <w:sz w:val="20"/>
                <w:szCs w:val="20"/>
              </w:rPr>
              <w:t>N/A</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sz w:val="20"/>
                <w:szCs w:val="20"/>
              </w:rPr>
            </w:pPr>
            <w:r w:rsidRPr="00260CE3">
              <w:rPr>
                <w:rFonts w:ascii="Arial Narrow" w:hAnsi="Arial Narrow" w:cs="Arial"/>
                <w:b/>
                <w:sz w:val="20"/>
                <w:szCs w:val="20"/>
              </w:rPr>
              <w:t>Definitions</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D203AD">
            <w:pPr>
              <w:rPr>
                <w:rFonts w:ascii="Arial Narrow" w:hAnsi="Arial Narrow" w:cs="Arial"/>
                <w:sz w:val="20"/>
                <w:szCs w:val="20"/>
              </w:rPr>
            </w:pPr>
            <w:r w:rsidRPr="00183501">
              <w:rPr>
                <w:rFonts w:ascii="Arial Narrow" w:hAnsi="Arial Narrow"/>
                <w:sz w:val="20"/>
                <w:szCs w:val="20"/>
              </w:rPr>
              <w:t>No definitions are associated with this Purpose</w:t>
            </w:r>
          </w:p>
        </w:tc>
      </w:tr>
      <w:tr w:rsidR="00013E05" w:rsidRPr="00187520"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260CE3" w:rsidRDefault="00013E05" w:rsidP="00D203AD">
            <w:pPr>
              <w:jc w:val="both"/>
              <w:rPr>
                <w:rFonts w:ascii="Arial Narrow" w:hAnsi="Arial Narrow" w:cs="Arial"/>
                <w:b/>
                <w:sz w:val="20"/>
                <w:szCs w:val="20"/>
              </w:rPr>
            </w:pPr>
            <w:r w:rsidRPr="00260CE3">
              <w:rPr>
                <w:rFonts w:ascii="Arial Narrow" w:hAnsi="Arial Narrow" w:cs="Arial"/>
                <w:b/>
                <w:sz w:val="20"/>
                <w:szCs w:val="20"/>
              </w:rPr>
              <w:t>Prescriber Instructions</w:t>
            </w:r>
          </w:p>
          <w:p w:rsidR="00013E05" w:rsidRPr="00260CE3" w:rsidRDefault="00013E05" w:rsidP="00D203AD">
            <w:pPr>
              <w:jc w:val="both"/>
              <w:rPr>
                <w:rFonts w:ascii="Arial Narrow" w:hAnsi="Arial Narrow" w:cs="Arial"/>
                <w:i/>
                <w:sz w:val="20"/>
                <w:szCs w:val="20"/>
              </w:rPr>
            </w:pPr>
          </w:p>
          <w:p w:rsidR="00013E05" w:rsidRPr="00260CE3" w:rsidRDefault="00013E05" w:rsidP="00D203AD">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183501" w:rsidRPr="00183501" w:rsidRDefault="00183501" w:rsidP="00183501">
            <w:pPr>
              <w:pStyle w:val="NormalWeb"/>
              <w:numPr>
                <w:ilvl w:val="0"/>
                <w:numId w:val="16"/>
              </w:numPr>
              <w:rPr>
                <w:rFonts w:ascii="Arial Narrow" w:hAnsi="Arial Narrow"/>
                <w:sz w:val="20"/>
                <w:szCs w:val="20"/>
              </w:rPr>
            </w:pPr>
            <w:r w:rsidRPr="00183501">
              <w:rPr>
                <w:rFonts w:ascii="Arial Narrow" w:hAnsi="Arial Narrow"/>
                <w:sz w:val="20"/>
                <w:szCs w:val="20"/>
              </w:rPr>
              <w:t>Chronic genotype 1 hepatitis C infection (repeated anti-HCV positive and HCV RNA positive) must be documented in the patient's medical records.</w:t>
            </w:r>
          </w:p>
          <w:p w:rsidR="00183501" w:rsidRPr="00183501" w:rsidRDefault="00183501" w:rsidP="00183501">
            <w:pPr>
              <w:pStyle w:val="NormalWeb"/>
              <w:numPr>
                <w:ilvl w:val="0"/>
                <w:numId w:val="16"/>
              </w:numPr>
              <w:rPr>
                <w:rFonts w:ascii="Arial Narrow" w:hAnsi="Arial Narrow"/>
                <w:sz w:val="20"/>
                <w:szCs w:val="20"/>
              </w:rPr>
            </w:pPr>
            <w:r w:rsidRPr="00183501">
              <w:rPr>
                <w:rFonts w:ascii="Arial Narrow" w:hAnsi="Arial Narrow"/>
                <w:sz w:val="20"/>
                <w:szCs w:val="20"/>
              </w:rPr>
              <w:t xml:space="preserve">Patients who have received prior treatment with an NS3/4A protease inhibitor are not eligible to receive PBS-subsidised </w:t>
            </w:r>
            <w:proofErr w:type="spellStart"/>
            <w:r w:rsidRPr="00183501">
              <w:rPr>
                <w:rFonts w:ascii="Arial Narrow" w:hAnsi="Arial Narrow"/>
                <w:sz w:val="20"/>
                <w:szCs w:val="20"/>
              </w:rPr>
              <w:t>boceprevir</w:t>
            </w:r>
            <w:proofErr w:type="spellEnd"/>
            <w:r w:rsidRPr="00183501">
              <w:rPr>
                <w:rFonts w:ascii="Arial Narrow" w:hAnsi="Arial Narrow"/>
                <w:sz w:val="20"/>
                <w:szCs w:val="20"/>
              </w:rPr>
              <w:t>, except where the patient has developed an intolerance to the other NS3/4A protease inhibitor of a severity necessitating permanent treatment withdrawal. Details of the intolerance must be documented in the patient's medical records.</w:t>
            </w:r>
          </w:p>
          <w:p w:rsidR="00183501" w:rsidRPr="00183501" w:rsidRDefault="00183501" w:rsidP="00183501">
            <w:pPr>
              <w:pStyle w:val="NormalWeb"/>
              <w:numPr>
                <w:ilvl w:val="0"/>
                <w:numId w:val="16"/>
              </w:numPr>
              <w:rPr>
                <w:rFonts w:ascii="Arial Narrow" w:hAnsi="Arial Narrow"/>
                <w:sz w:val="20"/>
                <w:szCs w:val="20"/>
              </w:rPr>
            </w:pPr>
            <w:r w:rsidRPr="00183501">
              <w:rPr>
                <w:rFonts w:ascii="Arial Narrow" w:hAnsi="Arial Narrow"/>
                <w:sz w:val="20"/>
                <w:szCs w:val="20"/>
              </w:rPr>
              <w:t xml:space="preserve">For patients without hepatic cirrhosis who were partial responders or </w:t>
            </w:r>
            <w:proofErr w:type="spellStart"/>
            <w:r w:rsidRPr="00183501">
              <w:rPr>
                <w:rFonts w:ascii="Arial Narrow" w:hAnsi="Arial Narrow"/>
                <w:sz w:val="20"/>
                <w:szCs w:val="20"/>
              </w:rPr>
              <w:t>relapsers</w:t>
            </w:r>
            <w:proofErr w:type="spellEnd"/>
            <w:r w:rsidRPr="00183501">
              <w:rPr>
                <w:rFonts w:ascii="Arial Narrow" w:hAnsi="Arial Narrow"/>
                <w:sz w:val="20"/>
                <w:szCs w:val="20"/>
              </w:rPr>
              <w:t xml:space="preserve"> to the prior course of interferon based therapy, a maximum of 7 repeats may be prescribed</w:t>
            </w:r>
          </w:p>
          <w:p w:rsidR="00013E05" w:rsidRPr="00FE4BEB" w:rsidRDefault="00183501" w:rsidP="00D203AD">
            <w:pPr>
              <w:pStyle w:val="NormalWeb"/>
              <w:numPr>
                <w:ilvl w:val="0"/>
                <w:numId w:val="16"/>
              </w:numPr>
              <w:rPr>
                <w:rFonts w:ascii="Arial Narrow" w:hAnsi="Arial Narrow"/>
                <w:sz w:val="20"/>
                <w:szCs w:val="20"/>
              </w:rPr>
            </w:pPr>
            <w:r w:rsidRPr="00183501">
              <w:rPr>
                <w:rFonts w:ascii="Arial Narrow" w:hAnsi="Arial Narrow"/>
                <w:sz w:val="20"/>
                <w:szCs w:val="20"/>
              </w:rPr>
              <w:t>For patients with hepatic cirrhosis, a maximum of 10 repeats may be prescribed.</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424B09" w:rsidRDefault="00013E05" w:rsidP="00D203AD">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7371" w:type="dxa"/>
            <w:gridSpan w:val="6"/>
            <w:tcBorders>
              <w:top w:val="single" w:sz="4" w:space="0" w:color="auto"/>
              <w:left w:val="single" w:sz="4" w:space="0" w:color="auto"/>
              <w:bottom w:val="single" w:sz="4" w:space="0" w:color="auto"/>
              <w:right w:val="single" w:sz="4" w:space="0" w:color="auto"/>
            </w:tcBorders>
          </w:tcPr>
          <w:p w:rsidR="00183501" w:rsidRPr="00183501" w:rsidRDefault="00183501" w:rsidP="00183501">
            <w:pPr>
              <w:pStyle w:val="NormalWeb"/>
              <w:numPr>
                <w:ilvl w:val="0"/>
                <w:numId w:val="17"/>
              </w:numPr>
              <w:rPr>
                <w:rFonts w:ascii="Arial Narrow" w:hAnsi="Arial Narrow"/>
                <w:sz w:val="20"/>
                <w:szCs w:val="20"/>
              </w:rPr>
            </w:pPr>
            <w:r w:rsidRPr="00183501">
              <w:rPr>
                <w:rFonts w:ascii="Arial Narrow" w:hAnsi="Arial Narrow"/>
                <w:sz w:val="20"/>
                <w:szCs w:val="20"/>
              </w:rPr>
              <w:t>No increase in the maximum quantity or number of units may be authorised.</w:t>
            </w:r>
          </w:p>
          <w:p w:rsidR="00183501" w:rsidRPr="00183501" w:rsidRDefault="00183501" w:rsidP="00183501">
            <w:pPr>
              <w:pStyle w:val="NormalWeb"/>
              <w:numPr>
                <w:ilvl w:val="0"/>
                <w:numId w:val="17"/>
              </w:numPr>
              <w:rPr>
                <w:rFonts w:ascii="Arial Narrow" w:hAnsi="Arial Narrow"/>
                <w:sz w:val="20"/>
                <w:szCs w:val="20"/>
              </w:rPr>
            </w:pPr>
            <w:r w:rsidRPr="00183501">
              <w:rPr>
                <w:rFonts w:ascii="Arial Narrow" w:hAnsi="Arial Narrow"/>
                <w:sz w:val="20"/>
                <w:szCs w:val="20"/>
              </w:rPr>
              <w:t>Treatment centres are required to have access to the following appropriate specialist facilities for the provision of clinical support services for hepatitis C:</w:t>
            </w:r>
          </w:p>
          <w:p w:rsidR="00183501" w:rsidRPr="00183501" w:rsidRDefault="00183501" w:rsidP="00183501">
            <w:pPr>
              <w:pStyle w:val="NormalWeb"/>
              <w:numPr>
                <w:ilvl w:val="1"/>
                <w:numId w:val="13"/>
              </w:numPr>
              <w:rPr>
                <w:rFonts w:ascii="Arial Narrow" w:hAnsi="Arial Narrow"/>
                <w:sz w:val="20"/>
                <w:szCs w:val="20"/>
              </w:rPr>
            </w:pPr>
            <w:r w:rsidRPr="00183501">
              <w:rPr>
                <w:rFonts w:ascii="Arial Narrow" w:hAnsi="Arial Narrow"/>
                <w:sz w:val="20"/>
                <w:szCs w:val="20"/>
              </w:rPr>
              <w:t>a nurse educator/counsellor for patients; and</w:t>
            </w:r>
          </w:p>
          <w:p w:rsidR="00183501" w:rsidRPr="00183501" w:rsidRDefault="00183501" w:rsidP="00183501">
            <w:pPr>
              <w:pStyle w:val="NormalWeb"/>
              <w:numPr>
                <w:ilvl w:val="1"/>
                <w:numId w:val="13"/>
              </w:numPr>
              <w:rPr>
                <w:rFonts w:ascii="Arial Narrow" w:hAnsi="Arial Narrow"/>
                <w:sz w:val="20"/>
                <w:szCs w:val="20"/>
              </w:rPr>
            </w:pPr>
            <w:r w:rsidRPr="00183501">
              <w:rPr>
                <w:rFonts w:ascii="Arial Narrow" w:hAnsi="Arial Narrow"/>
                <w:sz w:val="20"/>
                <w:szCs w:val="20"/>
              </w:rPr>
              <w:t>24-hour access by patients to medical advice; and</w:t>
            </w:r>
          </w:p>
          <w:p w:rsidR="00013E05" w:rsidRPr="00FE4BEB" w:rsidRDefault="00183501" w:rsidP="00D203AD">
            <w:pPr>
              <w:pStyle w:val="NormalWeb"/>
              <w:numPr>
                <w:ilvl w:val="1"/>
                <w:numId w:val="13"/>
              </w:numPr>
              <w:rPr>
                <w:rFonts w:ascii="Arial Narrow" w:hAnsi="Arial Narrow"/>
                <w:sz w:val="20"/>
                <w:szCs w:val="20"/>
              </w:rPr>
            </w:pPr>
            <w:r w:rsidRPr="00183501">
              <w:rPr>
                <w:rFonts w:ascii="Arial Narrow" w:hAnsi="Arial Narrow"/>
                <w:sz w:val="20"/>
                <w:szCs w:val="20"/>
              </w:rPr>
              <w:t>An established liver clinic.</w:t>
            </w:r>
          </w:p>
        </w:tc>
      </w:tr>
      <w:tr w:rsidR="00013E05" w:rsidRPr="00260CE3" w:rsidTr="00D203AD">
        <w:trPr>
          <w:trHeight w:val="360"/>
        </w:trPr>
        <w:tc>
          <w:tcPr>
            <w:tcW w:w="1843" w:type="dxa"/>
            <w:tcBorders>
              <w:top w:val="single" w:sz="4" w:space="0" w:color="auto"/>
              <w:left w:val="single" w:sz="4" w:space="0" w:color="auto"/>
              <w:bottom w:val="single" w:sz="4" w:space="0" w:color="auto"/>
              <w:right w:val="single" w:sz="4" w:space="0" w:color="auto"/>
            </w:tcBorders>
          </w:tcPr>
          <w:p w:rsidR="00013E05" w:rsidRPr="00424B09" w:rsidRDefault="00013E05" w:rsidP="00D203AD">
            <w:pPr>
              <w:jc w:val="both"/>
              <w:rPr>
                <w:rFonts w:ascii="Arial Narrow" w:hAnsi="Arial Narrow" w:cs="Arial"/>
                <w:b/>
                <w:sz w:val="20"/>
                <w:szCs w:val="20"/>
              </w:rPr>
            </w:pPr>
            <w:r w:rsidRPr="00260CE3">
              <w:rPr>
                <w:rFonts w:ascii="Arial Narrow" w:hAnsi="Arial Narrow" w:cs="Arial"/>
                <w:b/>
                <w:sz w:val="20"/>
                <w:szCs w:val="20"/>
              </w:rPr>
              <w:t>Cautions</w:t>
            </w:r>
          </w:p>
        </w:tc>
        <w:tc>
          <w:tcPr>
            <w:tcW w:w="7371" w:type="dxa"/>
            <w:gridSpan w:val="6"/>
            <w:tcBorders>
              <w:top w:val="single" w:sz="4" w:space="0" w:color="auto"/>
              <w:left w:val="single" w:sz="4" w:space="0" w:color="auto"/>
              <w:bottom w:val="single" w:sz="4" w:space="0" w:color="auto"/>
              <w:right w:val="single" w:sz="4" w:space="0" w:color="auto"/>
            </w:tcBorders>
          </w:tcPr>
          <w:p w:rsidR="00013E05" w:rsidRPr="00183501" w:rsidRDefault="00183501" w:rsidP="00D203AD">
            <w:pPr>
              <w:rPr>
                <w:rFonts w:ascii="Arial Narrow" w:hAnsi="Arial Narrow" w:cs="Arial"/>
                <w:sz w:val="20"/>
                <w:szCs w:val="20"/>
              </w:rPr>
            </w:pPr>
            <w:r w:rsidRPr="00183501">
              <w:rPr>
                <w:rFonts w:ascii="Arial Narrow" w:hAnsi="Arial Narrow" w:cs="Arial"/>
                <w:sz w:val="20"/>
                <w:szCs w:val="20"/>
              </w:rPr>
              <w:t>N/A</w:t>
            </w:r>
          </w:p>
        </w:tc>
      </w:tr>
    </w:tbl>
    <w:p w:rsidR="007F4E20" w:rsidRDefault="007F4E20"/>
    <w:sectPr w:rsidR="007F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B45"/>
    <w:multiLevelType w:val="multilevel"/>
    <w:tmpl w:val="C19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6493"/>
    <w:multiLevelType w:val="hybridMultilevel"/>
    <w:tmpl w:val="28FE1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13225F1"/>
    <w:multiLevelType w:val="multilevel"/>
    <w:tmpl w:val="9B9C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072CC"/>
    <w:multiLevelType w:val="hybridMultilevel"/>
    <w:tmpl w:val="1AD0EF56"/>
    <w:lvl w:ilvl="0" w:tplc="359A9D6A">
      <w:start w:val="1"/>
      <w:numFmt w:val="decimal"/>
      <w:lvlText w:val="%1."/>
      <w:lvlJc w:val="left"/>
      <w:pPr>
        <w:ind w:left="702" w:hanging="360"/>
      </w:pPr>
      <w:rPr>
        <w:b w:val="0"/>
      </w:rPr>
    </w:lvl>
    <w:lvl w:ilvl="1" w:tplc="0C090019">
      <w:start w:val="1"/>
      <w:numFmt w:val="lowerLetter"/>
      <w:lvlText w:val="%2."/>
      <w:lvlJc w:val="left"/>
      <w:pPr>
        <w:ind w:left="1422" w:hanging="360"/>
      </w:pPr>
    </w:lvl>
    <w:lvl w:ilvl="2" w:tplc="0C09001B">
      <w:start w:val="1"/>
      <w:numFmt w:val="lowerRoman"/>
      <w:lvlText w:val="%3."/>
      <w:lvlJc w:val="right"/>
      <w:pPr>
        <w:ind w:left="2142" w:hanging="180"/>
      </w:pPr>
    </w:lvl>
    <w:lvl w:ilvl="3" w:tplc="0C09000F" w:tentative="1">
      <w:start w:val="1"/>
      <w:numFmt w:val="decimal"/>
      <w:lvlText w:val="%4."/>
      <w:lvlJc w:val="left"/>
      <w:pPr>
        <w:ind w:left="2862" w:hanging="360"/>
      </w:pPr>
    </w:lvl>
    <w:lvl w:ilvl="4" w:tplc="0C090019" w:tentative="1">
      <w:start w:val="1"/>
      <w:numFmt w:val="lowerLetter"/>
      <w:lvlText w:val="%5."/>
      <w:lvlJc w:val="left"/>
      <w:pPr>
        <w:ind w:left="3582" w:hanging="360"/>
      </w:pPr>
    </w:lvl>
    <w:lvl w:ilvl="5" w:tplc="0C09001B" w:tentative="1">
      <w:start w:val="1"/>
      <w:numFmt w:val="lowerRoman"/>
      <w:lvlText w:val="%6."/>
      <w:lvlJc w:val="right"/>
      <w:pPr>
        <w:ind w:left="4302" w:hanging="180"/>
      </w:pPr>
    </w:lvl>
    <w:lvl w:ilvl="6" w:tplc="0C09000F" w:tentative="1">
      <w:start w:val="1"/>
      <w:numFmt w:val="decimal"/>
      <w:lvlText w:val="%7."/>
      <w:lvlJc w:val="left"/>
      <w:pPr>
        <w:ind w:left="5022" w:hanging="360"/>
      </w:pPr>
    </w:lvl>
    <w:lvl w:ilvl="7" w:tplc="0C090019" w:tentative="1">
      <w:start w:val="1"/>
      <w:numFmt w:val="lowerLetter"/>
      <w:lvlText w:val="%8."/>
      <w:lvlJc w:val="left"/>
      <w:pPr>
        <w:ind w:left="5742" w:hanging="360"/>
      </w:pPr>
    </w:lvl>
    <w:lvl w:ilvl="8" w:tplc="0C09001B" w:tentative="1">
      <w:start w:val="1"/>
      <w:numFmt w:val="lowerRoman"/>
      <w:lvlText w:val="%9."/>
      <w:lvlJc w:val="right"/>
      <w:pPr>
        <w:ind w:left="6462" w:hanging="180"/>
      </w:pPr>
    </w:lvl>
  </w:abstractNum>
  <w:abstractNum w:abstractNumId="4">
    <w:nsid w:val="2C4F0CEF"/>
    <w:multiLevelType w:val="multilevel"/>
    <w:tmpl w:val="D15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C04E6"/>
    <w:multiLevelType w:val="hybridMultilevel"/>
    <w:tmpl w:val="CBC499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C750961"/>
    <w:multiLevelType w:val="hybridMultilevel"/>
    <w:tmpl w:val="34A87AF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nsid w:val="4027472F"/>
    <w:multiLevelType w:val="multilevel"/>
    <w:tmpl w:val="38B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61433"/>
    <w:multiLevelType w:val="multilevel"/>
    <w:tmpl w:val="EE7469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E6DBB"/>
    <w:multiLevelType w:val="hybridMultilevel"/>
    <w:tmpl w:val="66E61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E5712B4"/>
    <w:multiLevelType w:val="multilevel"/>
    <w:tmpl w:val="59C2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004CC"/>
    <w:multiLevelType w:val="multilevel"/>
    <w:tmpl w:val="515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51FD1"/>
    <w:multiLevelType w:val="multilevel"/>
    <w:tmpl w:val="BC88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01AB9"/>
    <w:multiLevelType w:val="multilevel"/>
    <w:tmpl w:val="C3E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E621A"/>
    <w:multiLevelType w:val="hybridMultilevel"/>
    <w:tmpl w:val="B8BA31A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nsid w:val="6628599F"/>
    <w:multiLevelType w:val="hybridMultilevel"/>
    <w:tmpl w:val="D9DC6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B6311D8"/>
    <w:multiLevelType w:val="multilevel"/>
    <w:tmpl w:val="73F6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5"/>
  </w:num>
  <w:num w:numId="4">
    <w:abstractNumId w:val="9"/>
  </w:num>
  <w:num w:numId="5">
    <w:abstractNumId w:val="3"/>
  </w:num>
  <w:num w:numId="6">
    <w:abstractNumId w:val="2"/>
  </w:num>
  <w:num w:numId="7">
    <w:abstractNumId w:val="7"/>
  </w:num>
  <w:num w:numId="8">
    <w:abstractNumId w:val="11"/>
  </w:num>
  <w:num w:numId="9">
    <w:abstractNumId w:val="10"/>
  </w:num>
  <w:num w:numId="10">
    <w:abstractNumId w:val="4"/>
  </w:num>
  <w:num w:numId="11">
    <w:abstractNumId w:val="13"/>
  </w:num>
  <w:num w:numId="12">
    <w:abstractNumId w:val="0"/>
  </w:num>
  <w:num w:numId="13">
    <w:abstractNumId w:val="8"/>
  </w:num>
  <w:num w:numId="14">
    <w:abstractNumId w:val="12"/>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05"/>
    <w:rsid w:val="00013E05"/>
    <w:rsid w:val="00183501"/>
    <w:rsid w:val="00310AEC"/>
    <w:rsid w:val="004B25A1"/>
    <w:rsid w:val="006238F8"/>
    <w:rsid w:val="007F4E20"/>
    <w:rsid w:val="00867554"/>
    <w:rsid w:val="009E7E2F"/>
    <w:rsid w:val="00A01764"/>
    <w:rsid w:val="00B446FE"/>
    <w:rsid w:val="00C11033"/>
    <w:rsid w:val="00CE4691"/>
    <w:rsid w:val="00FE4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05"/>
    <w:rPr>
      <w:rFonts w:asciiTheme="minorHAnsi" w:eastAsiaTheme="minorEastAsia" w:hAnsiTheme="minorHAns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05"/>
    <w:pPr>
      <w:ind w:left="720"/>
      <w:contextualSpacing/>
    </w:pPr>
  </w:style>
  <w:style w:type="character" w:styleId="Hyperlink">
    <w:name w:val="Hyperlink"/>
    <w:basedOn w:val="DefaultParagraphFont"/>
    <w:uiPriority w:val="99"/>
    <w:unhideWhenUsed/>
    <w:rsid w:val="00013E05"/>
    <w:rPr>
      <w:color w:val="0000FF" w:themeColor="hyperlink"/>
      <w:u w:val="single"/>
    </w:rPr>
  </w:style>
  <w:style w:type="character" w:styleId="CommentReference">
    <w:name w:val="annotation reference"/>
    <w:basedOn w:val="DefaultParagraphFont"/>
    <w:uiPriority w:val="99"/>
    <w:semiHidden/>
    <w:unhideWhenUsed/>
    <w:rsid w:val="00013E05"/>
    <w:rPr>
      <w:sz w:val="16"/>
      <w:szCs w:val="16"/>
    </w:rPr>
  </w:style>
  <w:style w:type="paragraph" w:styleId="CommentText">
    <w:name w:val="annotation text"/>
    <w:basedOn w:val="Normal"/>
    <w:link w:val="CommentTextChar"/>
    <w:uiPriority w:val="99"/>
    <w:semiHidden/>
    <w:unhideWhenUsed/>
    <w:rsid w:val="00013E05"/>
    <w:pPr>
      <w:spacing w:line="240" w:lineRule="auto"/>
    </w:pPr>
    <w:rPr>
      <w:sz w:val="20"/>
      <w:szCs w:val="20"/>
    </w:rPr>
  </w:style>
  <w:style w:type="character" w:customStyle="1" w:styleId="CommentTextChar">
    <w:name w:val="Comment Text Char"/>
    <w:basedOn w:val="DefaultParagraphFont"/>
    <w:link w:val="CommentText"/>
    <w:uiPriority w:val="99"/>
    <w:semiHidden/>
    <w:rsid w:val="00013E05"/>
    <w:rPr>
      <w:rFonts w:asciiTheme="minorHAnsi" w:eastAsiaTheme="minorEastAsia" w:hAnsiTheme="minorHAnsi"/>
      <w:sz w:val="20"/>
      <w:szCs w:val="20"/>
      <w:lang w:eastAsia="en-AU"/>
    </w:rPr>
  </w:style>
  <w:style w:type="paragraph" w:styleId="BalloonText">
    <w:name w:val="Balloon Text"/>
    <w:basedOn w:val="Normal"/>
    <w:link w:val="BalloonTextChar"/>
    <w:uiPriority w:val="99"/>
    <w:semiHidden/>
    <w:unhideWhenUsed/>
    <w:rsid w:val="0001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05"/>
    <w:rPr>
      <w:rFonts w:ascii="Tahoma" w:eastAsiaTheme="minorEastAsia" w:hAnsi="Tahoma" w:cs="Tahoma"/>
      <w:sz w:val="16"/>
      <w:szCs w:val="16"/>
      <w:lang w:eastAsia="en-AU"/>
    </w:rPr>
  </w:style>
  <w:style w:type="paragraph" w:styleId="NormalWeb">
    <w:name w:val="Normal (Web)"/>
    <w:basedOn w:val="Normal"/>
    <w:uiPriority w:val="99"/>
    <w:unhideWhenUsed/>
    <w:rsid w:val="00CE4691"/>
    <w:pPr>
      <w:spacing w:before="75" w:after="75" w:line="240" w:lineRule="auto"/>
      <w:ind w:left="75" w:right="7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05"/>
    <w:rPr>
      <w:rFonts w:asciiTheme="minorHAnsi" w:eastAsiaTheme="minorEastAsia" w:hAnsiTheme="minorHAns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05"/>
    <w:pPr>
      <w:ind w:left="720"/>
      <w:contextualSpacing/>
    </w:pPr>
  </w:style>
  <w:style w:type="character" w:styleId="Hyperlink">
    <w:name w:val="Hyperlink"/>
    <w:basedOn w:val="DefaultParagraphFont"/>
    <w:uiPriority w:val="99"/>
    <w:unhideWhenUsed/>
    <w:rsid w:val="00013E05"/>
    <w:rPr>
      <w:color w:val="0000FF" w:themeColor="hyperlink"/>
      <w:u w:val="single"/>
    </w:rPr>
  </w:style>
  <w:style w:type="character" w:styleId="CommentReference">
    <w:name w:val="annotation reference"/>
    <w:basedOn w:val="DefaultParagraphFont"/>
    <w:uiPriority w:val="99"/>
    <w:semiHidden/>
    <w:unhideWhenUsed/>
    <w:rsid w:val="00013E05"/>
    <w:rPr>
      <w:sz w:val="16"/>
      <w:szCs w:val="16"/>
    </w:rPr>
  </w:style>
  <w:style w:type="paragraph" w:styleId="CommentText">
    <w:name w:val="annotation text"/>
    <w:basedOn w:val="Normal"/>
    <w:link w:val="CommentTextChar"/>
    <w:uiPriority w:val="99"/>
    <w:semiHidden/>
    <w:unhideWhenUsed/>
    <w:rsid w:val="00013E05"/>
    <w:pPr>
      <w:spacing w:line="240" w:lineRule="auto"/>
    </w:pPr>
    <w:rPr>
      <w:sz w:val="20"/>
      <w:szCs w:val="20"/>
    </w:rPr>
  </w:style>
  <w:style w:type="character" w:customStyle="1" w:styleId="CommentTextChar">
    <w:name w:val="Comment Text Char"/>
    <w:basedOn w:val="DefaultParagraphFont"/>
    <w:link w:val="CommentText"/>
    <w:uiPriority w:val="99"/>
    <w:semiHidden/>
    <w:rsid w:val="00013E05"/>
    <w:rPr>
      <w:rFonts w:asciiTheme="minorHAnsi" w:eastAsiaTheme="minorEastAsia" w:hAnsiTheme="minorHAnsi"/>
      <w:sz w:val="20"/>
      <w:szCs w:val="20"/>
      <w:lang w:eastAsia="en-AU"/>
    </w:rPr>
  </w:style>
  <w:style w:type="paragraph" w:styleId="BalloonText">
    <w:name w:val="Balloon Text"/>
    <w:basedOn w:val="Normal"/>
    <w:link w:val="BalloonTextChar"/>
    <w:uiPriority w:val="99"/>
    <w:semiHidden/>
    <w:unhideWhenUsed/>
    <w:rsid w:val="0001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05"/>
    <w:rPr>
      <w:rFonts w:ascii="Tahoma" w:eastAsiaTheme="minorEastAsia" w:hAnsi="Tahoma" w:cs="Tahoma"/>
      <w:sz w:val="16"/>
      <w:szCs w:val="16"/>
      <w:lang w:eastAsia="en-AU"/>
    </w:rPr>
  </w:style>
  <w:style w:type="paragraph" w:styleId="NormalWeb">
    <w:name w:val="Normal (Web)"/>
    <w:basedOn w:val="Normal"/>
    <w:uiPriority w:val="99"/>
    <w:unhideWhenUsed/>
    <w:rsid w:val="00CE4691"/>
    <w:pPr>
      <w:spacing w:before="75" w:after="75" w:line="240" w:lineRule="auto"/>
      <w:ind w:left="75" w:right="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935">
      <w:bodyDiv w:val="1"/>
      <w:marLeft w:val="0"/>
      <w:marRight w:val="0"/>
      <w:marTop w:val="0"/>
      <w:marBottom w:val="0"/>
      <w:divBdr>
        <w:top w:val="none" w:sz="0" w:space="0" w:color="auto"/>
        <w:left w:val="none" w:sz="0" w:space="0" w:color="auto"/>
        <w:bottom w:val="none" w:sz="0" w:space="0" w:color="auto"/>
        <w:right w:val="none" w:sz="0" w:space="0" w:color="auto"/>
      </w:divBdr>
      <w:divsChild>
        <w:div w:id="1469787871">
          <w:marLeft w:val="0"/>
          <w:marRight w:val="0"/>
          <w:marTop w:val="0"/>
          <w:marBottom w:val="0"/>
          <w:divBdr>
            <w:top w:val="none" w:sz="0" w:space="0" w:color="auto"/>
            <w:left w:val="none" w:sz="0" w:space="0" w:color="auto"/>
            <w:bottom w:val="none" w:sz="0" w:space="0" w:color="auto"/>
            <w:right w:val="none" w:sz="0" w:space="0" w:color="auto"/>
          </w:divBdr>
        </w:div>
      </w:divsChild>
    </w:div>
    <w:div w:id="272174467">
      <w:bodyDiv w:val="1"/>
      <w:marLeft w:val="0"/>
      <w:marRight w:val="0"/>
      <w:marTop w:val="0"/>
      <w:marBottom w:val="0"/>
      <w:divBdr>
        <w:top w:val="none" w:sz="0" w:space="0" w:color="auto"/>
        <w:left w:val="none" w:sz="0" w:space="0" w:color="auto"/>
        <w:bottom w:val="none" w:sz="0" w:space="0" w:color="auto"/>
        <w:right w:val="none" w:sz="0" w:space="0" w:color="auto"/>
      </w:divBdr>
      <w:divsChild>
        <w:div w:id="1251037781">
          <w:marLeft w:val="0"/>
          <w:marRight w:val="0"/>
          <w:marTop w:val="0"/>
          <w:marBottom w:val="0"/>
          <w:divBdr>
            <w:top w:val="none" w:sz="0" w:space="0" w:color="auto"/>
            <w:left w:val="none" w:sz="0" w:space="0" w:color="auto"/>
            <w:bottom w:val="none" w:sz="0" w:space="0" w:color="auto"/>
            <w:right w:val="none" w:sz="0" w:space="0" w:color="auto"/>
          </w:divBdr>
        </w:div>
      </w:divsChild>
    </w:div>
    <w:div w:id="755246493">
      <w:bodyDiv w:val="1"/>
      <w:marLeft w:val="0"/>
      <w:marRight w:val="0"/>
      <w:marTop w:val="0"/>
      <w:marBottom w:val="0"/>
      <w:divBdr>
        <w:top w:val="none" w:sz="0" w:space="0" w:color="auto"/>
        <w:left w:val="none" w:sz="0" w:space="0" w:color="auto"/>
        <w:bottom w:val="none" w:sz="0" w:space="0" w:color="auto"/>
        <w:right w:val="none" w:sz="0" w:space="0" w:color="auto"/>
      </w:divBdr>
      <w:divsChild>
        <w:div w:id="180257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2015-06-16T01:24:00Z</dcterms:created>
  <dcterms:modified xsi:type="dcterms:W3CDTF">2015-06-29T01:03:00Z</dcterms:modified>
</cp:coreProperties>
</file>